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82"/>
        <w:jc w:val="center"/>
        <w:rPr>
          <w:b/>
          <w:highlight w:val="none"/>
        </w:rPr>
      </w:pPr>
    </w:p>
    <w:p>
      <w:pPr>
        <w:ind w:firstLine="482"/>
        <w:jc w:val="center"/>
        <w:rPr>
          <w:b/>
          <w:highlight w:val="none"/>
        </w:rPr>
      </w:pPr>
    </w:p>
    <w:p>
      <w:pPr>
        <w:ind w:firstLine="482"/>
        <w:jc w:val="center"/>
        <w:rPr>
          <w:b/>
          <w:highlight w:val="none"/>
        </w:rPr>
      </w:pPr>
    </w:p>
    <w:p>
      <w:pPr>
        <w:ind w:firstLine="482"/>
        <w:jc w:val="center"/>
        <w:rPr>
          <w:b/>
          <w:highlight w:val="none"/>
        </w:rPr>
      </w:pPr>
    </w:p>
    <w:p>
      <w:pPr>
        <w:ind w:firstLine="482"/>
        <w:jc w:val="center"/>
        <w:rPr>
          <w:b/>
          <w:highlight w:val="none"/>
        </w:rPr>
      </w:pPr>
    </w:p>
    <w:p>
      <w:pPr>
        <w:ind w:firstLine="482"/>
        <w:jc w:val="center"/>
        <w:rPr>
          <w:b/>
          <w:highlight w:val="none"/>
        </w:rPr>
      </w:pPr>
    </w:p>
    <w:p>
      <w:pPr>
        <w:jc w:val="center"/>
        <w:rPr>
          <w:b/>
          <w:color w:val="000000"/>
          <w:sz w:val="44"/>
          <w:szCs w:val="44"/>
          <w:highlight w:val="none"/>
        </w:rPr>
      </w:pPr>
      <w:r>
        <w:rPr>
          <w:rFonts w:hint="eastAsia"/>
          <w:b/>
          <w:color w:val="000000"/>
          <w:sz w:val="44"/>
          <w:szCs w:val="44"/>
          <w:highlight w:val="none"/>
          <w:shd w:val="clear" w:color="FFFFFF" w:fill="D9D9D9"/>
        </w:rPr>
        <w:fldChar w:fldCharType="begin">
          <w:ffData>
            <w:enabled/>
            <w:calcOnExit w:val="0"/>
            <w:textInput/>
          </w:ffData>
        </w:fldChar>
      </w:r>
      <w:r>
        <w:rPr>
          <w:b/>
          <w:color w:val="000000"/>
          <w:sz w:val="44"/>
          <w:szCs w:val="44"/>
          <w:highlight w:val="none"/>
          <w:shd w:val="clear" w:color="FFFFFF" w:fill="D9D9D9"/>
        </w:rPr>
        <w:instrText xml:space="preserve">FORMTEXT</w:instrText>
      </w:r>
      <w:r>
        <w:rPr>
          <w:rFonts w:hint="eastAsia"/>
          <w:b/>
          <w:color w:val="000000"/>
          <w:sz w:val="44"/>
          <w:szCs w:val="44"/>
          <w:highlight w:val="none"/>
          <w:shd w:val="clear" w:color="FFFFFF" w:fill="D9D9D9"/>
        </w:rPr>
        <w:fldChar w:fldCharType="separate"/>
      </w:r>
      <w:r>
        <w:rPr>
          <w:rFonts w:hint="eastAsia"/>
          <w:b/>
          <w:color w:val="000000"/>
          <w:sz w:val="44"/>
          <w:szCs w:val="44"/>
          <w:highlight w:val="none"/>
          <w:u w:val="single"/>
          <w:shd w:val="clear" w:color="FFFFFF" w:fill="D9D9D9"/>
          <w:lang w:eastAsia="zh-CN"/>
        </w:rPr>
        <w:t>太原市城区农村信用合作联社信</w:t>
      </w:r>
      <w:bookmarkStart w:id="70" w:name="_GoBack"/>
      <w:bookmarkEnd w:id="70"/>
      <w:r>
        <w:rPr>
          <w:rFonts w:hint="eastAsia"/>
          <w:b/>
          <w:color w:val="000000"/>
          <w:sz w:val="44"/>
          <w:szCs w:val="44"/>
          <w:highlight w:val="none"/>
          <w:u w:val="single"/>
          <w:shd w:val="clear" w:color="FFFFFF" w:fill="D9D9D9"/>
          <w:lang w:eastAsia="zh-CN"/>
        </w:rPr>
        <w:t>盈宝系列</w:t>
      </w:r>
      <w:r>
        <w:rPr>
          <w:rFonts w:hint="eastAsia"/>
          <w:b/>
          <w:color w:val="000000"/>
          <w:sz w:val="44"/>
          <w:szCs w:val="44"/>
          <w:highlight w:val="none"/>
          <w:shd w:val="clear" w:color="FFFFFF" w:fill="D9D9D9"/>
        </w:rPr>
        <w:fldChar w:fldCharType="end"/>
      </w:r>
      <w:r>
        <w:rPr>
          <w:rFonts w:hint="eastAsia"/>
          <w:b/>
          <w:color w:val="000000"/>
          <w:sz w:val="44"/>
          <w:szCs w:val="44"/>
          <w:highlight w:val="none"/>
        </w:rPr>
        <w:t>理财计划托管协议</w:t>
      </w:r>
    </w:p>
    <w:p>
      <w:pPr>
        <w:jc w:val="center"/>
        <w:rPr>
          <w:b/>
          <w:color w:val="000000"/>
          <w:sz w:val="44"/>
          <w:szCs w:val="44"/>
          <w:highlight w:val="none"/>
          <w:u w:val="single"/>
        </w:rPr>
      </w:pPr>
    </w:p>
    <w:p>
      <w:pPr>
        <w:pStyle w:val="38"/>
        <w:jc w:val="center"/>
        <w:rPr>
          <w:rFonts w:cs="宋体"/>
          <w:spacing w:val="-2"/>
          <w:sz w:val="30"/>
          <w:szCs w:val="30"/>
          <w:highlight w:val="none"/>
        </w:rPr>
      </w:pPr>
      <w:r>
        <w:rPr>
          <w:rFonts w:hint="eastAsia" w:cs="宋体"/>
          <w:spacing w:val="-2"/>
          <w:sz w:val="30"/>
          <w:szCs w:val="30"/>
          <w:highlight w:val="none"/>
        </w:rPr>
        <w:t>（证券类券商结算模式)</w:t>
      </w:r>
    </w:p>
    <w:p>
      <w:pPr>
        <w:rPr>
          <w:b/>
          <w:sz w:val="32"/>
          <w:highlight w:val="none"/>
        </w:rPr>
      </w:pPr>
    </w:p>
    <w:p>
      <w:pPr>
        <w:ind w:firstLine="643"/>
        <w:jc w:val="center"/>
        <w:rPr>
          <w:rFonts w:cs="宋体"/>
          <w:spacing w:val="-2"/>
          <w:kern w:val="0"/>
          <w:sz w:val="30"/>
          <w:szCs w:val="30"/>
          <w:highlight w:val="none"/>
        </w:rPr>
      </w:pPr>
      <w:r>
        <w:rPr>
          <w:rFonts w:hint="eastAsia" w:cs="宋体"/>
          <w:spacing w:val="-2"/>
          <w:kern w:val="0"/>
          <w:sz w:val="30"/>
          <w:szCs w:val="30"/>
          <w:highlight w:val="none"/>
        </w:rPr>
        <w:t>合同编号：</w:t>
      </w:r>
      <w:r>
        <w:rPr>
          <w:rFonts w:hint="eastAsia" w:cs="宋体"/>
          <w:spacing w:val="-2"/>
          <w:kern w:val="0"/>
          <w:sz w:val="30"/>
          <w:szCs w:val="30"/>
          <w:highlight w:val="none"/>
          <w:shd w:val="clear" w:color="FFFFFF" w:fill="D9D9D9"/>
        </w:rPr>
        <w:fldChar w:fldCharType="begin">
          <w:ffData>
            <w:name w:val="Text1"/>
            <w:enabled/>
            <w:calcOnExit w:val="0"/>
            <w:textInput/>
          </w:ffData>
        </w:fldChar>
      </w:r>
      <w:r>
        <w:rPr>
          <w:rFonts w:cs="宋体"/>
          <w:spacing w:val="-2"/>
          <w:kern w:val="0"/>
          <w:sz w:val="30"/>
          <w:szCs w:val="30"/>
          <w:highlight w:val="none"/>
          <w:shd w:val="clear" w:color="FFFFFF" w:fill="D9D9D9"/>
        </w:rPr>
        <w:instrText xml:space="preserve">FORMTEXT</w:instrText>
      </w:r>
      <w:r>
        <w:rPr>
          <w:rFonts w:hint="eastAsia" w:cs="宋体"/>
          <w:spacing w:val="-2"/>
          <w:kern w:val="0"/>
          <w:sz w:val="30"/>
          <w:szCs w:val="30"/>
          <w:highlight w:val="none"/>
          <w:shd w:val="clear" w:color="FFFFFF" w:fill="D9D9D9"/>
        </w:rPr>
        <w:fldChar w:fldCharType="separate"/>
      </w:r>
      <w:r>
        <w:rPr>
          <w:rFonts w:cs="宋体"/>
          <w:spacing w:val="-2"/>
          <w:kern w:val="0"/>
          <w:sz w:val="30"/>
          <w:szCs w:val="30"/>
          <w:highlight w:val="none"/>
          <w:shd w:val="clear" w:color="FFFFFF" w:fill="D9D9D9"/>
        </w:rPr>
        <w:t>     </w:t>
      </w:r>
      <w:r>
        <w:rPr>
          <w:rFonts w:hint="eastAsia" w:cs="宋体"/>
          <w:spacing w:val="-2"/>
          <w:kern w:val="0"/>
          <w:sz w:val="30"/>
          <w:szCs w:val="30"/>
          <w:highlight w:val="none"/>
          <w:shd w:val="clear" w:color="FFFFFF" w:fill="D9D9D9"/>
        </w:rPr>
        <w:fldChar w:fldCharType="end"/>
      </w:r>
    </w:p>
    <w:p>
      <w:pPr>
        <w:ind w:firstLine="643"/>
        <w:jc w:val="center"/>
        <w:rPr>
          <w:b/>
          <w:sz w:val="32"/>
          <w:highlight w:val="none"/>
        </w:rPr>
      </w:pPr>
    </w:p>
    <w:p>
      <w:pPr>
        <w:ind w:firstLine="643"/>
        <w:jc w:val="center"/>
        <w:rPr>
          <w:b/>
          <w:sz w:val="32"/>
          <w:highlight w:val="none"/>
        </w:rPr>
      </w:pPr>
    </w:p>
    <w:p>
      <w:pPr>
        <w:spacing w:line="420" w:lineRule="exact"/>
        <w:rPr>
          <w:b/>
          <w:spacing w:val="6"/>
          <w:sz w:val="30"/>
          <w:szCs w:val="30"/>
          <w:highlight w:val="none"/>
        </w:rPr>
      </w:pPr>
      <w:r>
        <w:rPr>
          <w:rFonts w:hint="eastAsia"/>
          <w:b/>
          <w:spacing w:val="6"/>
          <w:sz w:val="30"/>
          <w:szCs w:val="30"/>
          <w:highlight w:val="none"/>
        </w:rPr>
        <w:t xml:space="preserve">         </w:t>
      </w:r>
    </w:p>
    <w:p>
      <w:pPr>
        <w:spacing w:line="420" w:lineRule="exact"/>
        <w:rPr>
          <w:b/>
          <w:spacing w:val="6"/>
          <w:sz w:val="30"/>
          <w:szCs w:val="30"/>
          <w:highlight w:val="none"/>
        </w:rPr>
      </w:pPr>
    </w:p>
    <w:p>
      <w:pPr>
        <w:spacing w:line="420" w:lineRule="exact"/>
        <w:jc w:val="both"/>
        <w:rPr>
          <w:rFonts w:hint="eastAsia"/>
          <w:color w:val="000000"/>
          <w:highlight w:val="none"/>
          <w:u w:val="single"/>
          <w:shd w:val="clear" w:color="FFFFFF" w:fill="D9D9D9"/>
          <w:lang w:val="en-US" w:eastAsia="zh-CN"/>
        </w:rPr>
      </w:pPr>
      <w:r>
        <w:rPr>
          <w:rFonts w:hint="eastAsia"/>
          <w:b/>
          <w:spacing w:val="6"/>
          <w:sz w:val="30"/>
          <w:szCs w:val="30"/>
          <w:highlight w:val="none"/>
        </w:rPr>
        <w:t xml:space="preserve">               理财计划管理人：</w:t>
      </w:r>
      <w:r>
        <w:rPr>
          <w:rFonts w:hint="eastAsia" w:ascii="宋体" w:hAnsi="宋体" w:eastAsia="宋体" w:cs="宋体"/>
          <w:color w:val="000000"/>
          <w:sz w:val="30"/>
          <w:szCs w:val="30"/>
          <w:highlight w:val="none"/>
          <w:u w:val="single"/>
          <w:shd w:val="clear" w:color="FFFFFF" w:fill="D9D9D9"/>
        </w:rPr>
        <w:fldChar w:fldCharType="begin">
          <w:ffData>
            <w:enabled/>
            <w:calcOnExit w:val="0"/>
            <w:textInput/>
          </w:ffData>
        </w:fldChar>
      </w:r>
      <w:r>
        <w:rPr>
          <w:rFonts w:hint="eastAsia" w:ascii="宋体" w:hAnsi="宋体" w:eastAsia="宋体" w:cs="宋体"/>
          <w:color w:val="000000"/>
          <w:sz w:val="30"/>
          <w:szCs w:val="30"/>
          <w:highlight w:val="none"/>
          <w:u w:val="single"/>
          <w:shd w:val="clear" w:color="FFFFFF" w:fill="D9D9D9"/>
        </w:rPr>
        <w:instrText xml:space="preserve">FORMTEXT</w:instrText>
      </w:r>
      <w:r>
        <w:rPr>
          <w:rFonts w:hint="eastAsia" w:ascii="宋体" w:hAnsi="宋体" w:eastAsia="宋体" w:cs="宋体"/>
          <w:color w:val="000000"/>
          <w:sz w:val="30"/>
          <w:szCs w:val="30"/>
          <w:highlight w:val="none"/>
          <w:u w:val="single"/>
          <w:shd w:val="clear" w:color="FFFFFF" w:fill="D9D9D9"/>
        </w:rPr>
        <w:fldChar w:fldCharType="separate"/>
      </w:r>
      <w:r>
        <w:rPr>
          <w:rFonts w:hint="eastAsia" w:ascii="宋体" w:hAnsi="宋体" w:eastAsia="宋体" w:cs="宋体"/>
          <w:b/>
          <w:kern w:val="0"/>
          <w:sz w:val="30"/>
          <w:szCs w:val="30"/>
          <w:highlight w:val="none"/>
          <w:u w:val="none"/>
          <w:shd w:val="clear" w:color="auto" w:fill="auto"/>
          <w:lang w:eastAsia="zh-CN"/>
        </w:rPr>
        <w:t>太原市城区农村信用合作联社</w:t>
      </w:r>
      <w:r>
        <w:rPr>
          <w:rFonts w:hint="eastAsia" w:ascii="宋体" w:hAnsi="宋体" w:eastAsia="宋体" w:cs="宋体"/>
          <w:color w:val="000000"/>
          <w:sz w:val="30"/>
          <w:szCs w:val="30"/>
          <w:highlight w:val="none"/>
          <w:u w:val="single"/>
          <w:shd w:val="clear" w:color="FFFFFF" w:fill="D9D9D9"/>
        </w:rPr>
        <w:fldChar w:fldCharType="end"/>
      </w:r>
    </w:p>
    <w:p>
      <w:pPr>
        <w:spacing w:line="420" w:lineRule="exact"/>
        <w:ind w:firstLine="2505" w:firstLineChars="800"/>
        <w:jc w:val="both"/>
        <w:rPr>
          <w:b/>
          <w:spacing w:val="6"/>
          <w:sz w:val="30"/>
          <w:szCs w:val="30"/>
          <w:highlight w:val="none"/>
        </w:rPr>
      </w:pPr>
      <w:r>
        <w:rPr>
          <w:rFonts w:hint="eastAsia"/>
          <w:b/>
          <w:spacing w:val="6"/>
          <w:sz w:val="30"/>
          <w:szCs w:val="30"/>
          <w:highlight w:val="none"/>
        </w:rPr>
        <w:t>理财计划托管人：中国民生银行股份有限公司</w:t>
      </w:r>
    </w:p>
    <w:p>
      <w:pPr>
        <w:spacing w:line="420" w:lineRule="exact"/>
        <w:ind w:right="141" w:rightChars="67" w:firstLine="626"/>
        <w:jc w:val="center"/>
        <w:rPr>
          <w:b/>
          <w:spacing w:val="6"/>
          <w:sz w:val="30"/>
          <w:szCs w:val="30"/>
          <w:highlight w:val="none"/>
        </w:rPr>
      </w:pPr>
    </w:p>
    <w:p>
      <w:pPr>
        <w:spacing w:line="420" w:lineRule="exact"/>
        <w:ind w:right="141" w:rightChars="67" w:firstLine="626"/>
        <w:jc w:val="center"/>
        <w:rPr>
          <w:b/>
          <w:spacing w:val="6"/>
          <w:sz w:val="30"/>
          <w:szCs w:val="30"/>
          <w:highlight w:val="none"/>
        </w:rPr>
      </w:pPr>
    </w:p>
    <w:p>
      <w:pPr>
        <w:spacing w:line="420" w:lineRule="exact"/>
        <w:ind w:right="141" w:rightChars="67" w:firstLine="626"/>
        <w:jc w:val="center"/>
        <w:rPr>
          <w:b/>
          <w:spacing w:val="6"/>
          <w:sz w:val="30"/>
          <w:szCs w:val="30"/>
          <w:highlight w:val="none"/>
        </w:rPr>
      </w:pPr>
    </w:p>
    <w:p>
      <w:pPr>
        <w:spacing w:line="420" w:lineRule="exact"/>
        <w:ind w:right="141" w:rightChars="67" w:firstLine="626"/>
        <w:jc w:val="center"/>
        <w:rPr>
          <w:b/>
          <w:spacing w:val="6"/>
          <w:sz w:val="30"/>
          <w:szCs w:val="30"/>
          <w:highlight w:val="none"/>
        </w:rPr>
      </w:pPr>
    </w:p>
    <w:p>
      <w:pPr>
        <w:spacing w:line="420" w:lineRule="exact"/>
        <w:ind w:right="141" w:rightChars="67" w:firstLine="626"/>
        <w:jc w:val="center"/>
        <w:rPr>
          <w:b/>
          <w:spacing w:val="6"/>
          <w:sz w:val="30"/>
          <w:szCs w:val="30"/>
          <w:highlight w:val="none"/>
        </w:rPr>
      </w:pPr>
    </w:p>
    <w:p>
      <w:pPr>
        <w:spacing w:line="420" w:lineRule="exact"/>
        <w:ind w:right="23" w:rightChars="11"/>
        <w:jc w:val="center"/>
        <w:rPr>
          <w:b/>
          <w:spacing w:val="6"/>
          <w:sz w:val="30"/>
          <w:szCs w:val="30"/>
          <w:highlight w:val="none"/>
        </w:rPr>
      </w:pPr>
      <w:r>
        <w:rPr>
          <w:rFonts w:hint="eastAsia"/>
          <w:b/>
          <w:spacing w:val="6"/>
          <w:sz w:val="30"/>
          <w:szCs w:val="30"/>
          <w:highlight w:val="none"/>
        </w:rPr>
        <w:t>中国民生银行股份有限公司</w:t>
      </w:r>
    </w:p>
    <w:p>
      <w:pPr>
        <w:spacing w:line="420" w:lineRule="exact"/>
        <w:ind w:right="141" w:rightChars="67" w:firstLine="480"/>
        <w:jc w:val="center"/>
        <w:rPr>
          <w:b/>
          <w:spacing w:val="6"/>
          <w:sz w:val="30"/>
          <w:szCs w:val="30"/>
          <w:highlight w:val="none"/>
        </w:rPr>
      </w:pPr>
      <w:r>
        <w:rPr>
          <w:rFonts w:hint="eastAsia"/>
          <w:color w:val="000000"/>
          <w:highlight w:val="none"/>
          <w:shd w:val="clear" w:color="FFFFFF" w:fill="D9D9D9"/>
        </w:rPr>
        <w:fldChar w:fldCharType="begin">
          <w:ffData>
            <w:enabled/>
            <w:calcOnExit w:val="0"/>
            <w:textInput/>
          </w:ffData>
        </w:fldChar>
      </w:r>
      <w:r>
        <w:rPr>
          <w:color w:val="000000"/>
          <w:highlight w:val="none"/>
          <w:shd w:val="clear" w:color="FFFFFF" w:fill="D9D9D9"/>
        </w:rPr>
        <w:instrText xml:space="preserve">FORMTEXT</w:instrText>
      </w:r>
      <w:r>
        <w:rPr>
          <w:rFonts w:hint="eastAsia"/>
          <w:color w:val="000000"/>
          <w:highlight w:val="none"/>
          <w:shd w:val="clear" w:color="FFFFFF" w:fill="D9D9D9"/>
        </w:rPr>
        <w:fldChar w:fldCharType="separate"/>
      </w:r>
      <w:r>
        <w:rPr>
          <w:color w:val="000000"/>
          <w:highlight w:val="none"/>
          <w:shd w:val="clear" w:color="FFFFFF" w:fill="D9D9D9"/>
        </w:rPr>
        <w:t>     </w:t>
      </w:r>
      <w:r>
        <w:rPr>
          <w:rFonts w:hint="eastAsia"/>
          <w:color w:val="000000"/>
          <w:highlight w:val="none"/>
          <w:shd w:val="clear" w:color="FFFFFF" w:fill="D9D9D9"/>
        </w:rPr>
        <w:fldChar w:fldCharType="end"/>
      </w:r>
      <w:r>
        <w:rPr>
          <w:rFonts w:hint="eastAsia"/>
          <w:b/>
          <w:spacing w:val="6"/>
          <w:sz w:val="30"/>
          <w:szCs w:val="30"/>
          <w:highlight w:val="none"/>
        </w:rPr>
        <w:t>年</w:t>
      </w:r>
      <w:r>
        <w:rPr>
          <w:rFonts w:hint="eastAsia"/>
          <w:color w:val="000000"/>
          <w:highlight w:val="none"/>
          <w:shd w:val="clear" w:color="FFFFFF" w:fill="D9D9D9"/>
        </w:rPr>
        <w:fldChar w:fldCharType="begin">
          <w:ffData>
            <w:enabled/>
            <w:calcOnExit w:val="0"/>
            <w:textInput/>
          </w:ffData>
        </w:fldChar>
      </w:r>
      <w:r>
        <w:rPr>
          <w:color w:val="000000"/>
          <w:highlight w:val="none"/>
          <w:shd w:val="clear" w:color="FFFFFF" w:fill="D9D9D9"/>
        </w:rPr>
        <w:instrText xml:space="preserve">FORMTEXT</w:instrText>
      </w:r>
      <w:r>
        <w:rPr>
          <w:rFonts w:hint="eastAsia"/>
          <w:color w:val="000000"/>
          <w:highlight w:val="none"/>
          <w:shd w:val="clear" w:color="FFFFFF" w:fill="D9D9D9"/>
        </w:rPr>
        <w:fldChar w:fldCharType="separate"/>
      </w:r>
      <w:r>
        <w:rPr>
          <w:color w:val="000000"/>
          <w:highlight w:val="none"/>
          <w:shd w:val="clear" w:color="FFFFFF" w:fill="D9D9D9"/>
        </w:rPr>
        <w:t>     </w:t>
      </w:r>
      <w:r>
        <w:rPr>
          <w:rFonts w:hint="eastAsia"/>
          <w:color w:val="000000"/>
          <w:highlight w:val="none"/>
          <w:shd w:val="clear" w:color="FFFFFF" w:fill="D9D9D9"/>
        </w:rPr>
        <w:fldChar w:fldCharType="end"/>
      </w:r>
      <w:r>
        <w:rPr>
          <w:rFonts w:hint="eastAsia"/>
          <w:b/>
          <w:spacing w:val="6"/>
          <w:sz w:val="30"/>
          <w:szCs w:val="30"/>
          <w:highlight w:val="none"/>
        </w:rPr>
        <w:t>月</w:t>
      </w:r>
    </w:p>
    <w:p>
      <w:pPr>
        <w:ind w:firstLine="643"/>
        <w:jc w:val="center"/>
        <w:rPr>
          <w:b/>
          <w:sz w:val="32"/>
          <w:highlight w:val="none"/>
        </w:rPr>
        <w:sectPr>
          <w:headerReference r:id="rId3" w:type="default"/>
          <w:footerReference r:id="rId4" w:type="default"/>
          <w:pgSz w:w="11849" w:h="16781"/>
          <w:pgMar w:top="964" w:right="964" w:bottom="964" w:left="964" w:header="850" w:footer="992" w:gutter="0"/>
          <w:pgNumType w:fmt="decimal"/>
          <w:cols w:space="720" w:num="1"/>
          <w:formProt w:val="1"/>
          <w:docGrid w:type="lines" w:linePitch="312" w:charSpace="0"/>
        </w:sectPr>
      </w:pPr>
    </w:p>
    <w:p>
      <w:pPr>
        <w:widowControl/>
        <w:spacing w:line="420" w:lineRule="exact"/>
        <w:jc w:val="center"/>
        <w:rPr>
          <w:rFonts w:hint="eastAsia"/>
          <w:b/>
          <w:color w:val="000000"/>
          <w:sz w:val="44"/>
          <w:szCs w:val="44"/>
          <w:highlight w:val="none"/>
          <w:shd w:val="clear" w:color="FFFFFF" w:fill="D9D9D9"/>
        </w:rPr>
      </w:pPr>
    </w:p>
    <w:p>
      <w:pPr>
        <w:widowControl/>
        <w:spacing w:line="420" w:lineRule="exact"/>
        <w:jc w:val="center"/>
        <w:rPr>
          <w:rFonts w:cs="Arial"/>
          <w:b/>
          <w:kern w:val="0"/>
          <w:sz w:val="44"/>
          <w:szCs w:val="44"/>
          <w:highlight w:val="none"/>
        </w:rPr>
      </w:pPr>
      <w:r>
        <w:rPr>
          <w:rFonts w:hint="eastAsia"/>
          <w:b/>
          <w:color w:val="000000"/>
          <w:sz w:val="36"/>
          <w:szCs w:val="36"/>
          <w:highlight w:val="none"/>
          <w:shd w:val="clear" w:color="FFFFFF" w:fill="D9D9D9"/>
        </w:rPr>
        <w:fldChar w:fldCharType="begin">
          <w:ffData>
            <w:enabled/>
            <w:calcOnExit w:val="0"/>
            <w:textInput/>
          </w:ffData>
        </w:fldChar>
      </w:r>
      <w:r>
        <w:rPr>
          <w:b/>
          <w:color w:val="000000"/>
          <w:sz w:val="36"/>
          <w:szCs w:val="36"/>
          <w:highlight w:val="none"/>
          <w:shd w:val="clear" w:color="FFFFFF" w:fill="D9D9D9"/>
        </w:rPr>
        <w:instrText xml:space="preserve">FORMTEXT</w:instrText>
      </w:r>
      <w:r>
        <w:rPr>
          <w:rFonts w:hint="eastAsia"/>
          <w:b/>
          <w:color w:val="000000"/>
          <w:sz w:val="36"/>
          <w:szCs w:val="36"/>
          <w:highlight w:val="none"/>
          <w:shd w:val="clear" w:color="FFFFFF" w:fill="D9D9D9"/>
        </w:rPr>
        <w:fldChar w:fldCharType="separate"/>
      </w:r>
      <w:r>
        <w:rPr>
          <w:rFonts w:hint="eastAsia"/>
          <w:b/>
          <w:color w:val="000000"/>
          <w:sz w:val="36"/>
          <w:szCs w:val="36"/>
          <w:highlight w:val="none"/>
          <w:shd w:val="clear" w:color="FFFFFF" w:fill="D9D9D9"/>
        </w:rPr>
        <w:t> 太原市城区农村信用合作联社信盈宝系列</w:t>
      </w:r>
      <w:r>
        <w:rPr>
          <w:rFonts w:hint="eastAsia"/>
          <w:b/>
          <w:color w:val="000000"/>
          <w:sz w:val="36"/>
          <w:szCs w:val="36"/>
          <w:highlight w:val="none"/>
          <w:shd w:val="clear" w:color="FFFFFF" w:fill="D9D9D9"/>
        </w:rPr>
        <w:fldChar w:fldCharType="end"/>
      </w:r>
      <w:r>
        <w:rPr>
          <w:rFonts w:hint="eastAsia" w:cs="Arial"/>
          <w:b/>
          <w:kern w:val="0"/>
          <w:sz w:val="36"/>
          <w:szCs w:val="36"/>
          <w:highlight w:val="none"/>
        </w:rPr>
        <w:t>理财计划托管协议</w:t>
      </w:r>
    </w:p>
    <w:p>
      <w:pPr>
        <w:ind w:firstLine="4515" w:firstLineChars="2150"/>
        <w:rPr>
          <w:highlight w:val="none"/>
        </w:rPr>
      </w:pPr>
    </w:p>
    <w:p>
      <w:pPr>
        <w:widowControl/>
        <w:spacing w:before="156" w:beforeLines="0" w:after="156" w:afterLines="0" w:line="420" w:lineRule="exact"/>
        <w:ind w:left="850" w:leftChars="405" w:firstLine="2"/>
        <w:jc w:val="left"/>
        <w:rPr>
          <w:rFonts w:hint="eastAsia" w:eastAsia="宋体"/>
          <w:b/>
          <w:kern w:val="0"/>
          <w:sz w:val="24"/>
          <w:szCs w:val="24"/>
          <w:highlight w:val="none"/>
          <w:lang w:eastAsia="zh-CN"/>
        </w:rPr>
      </w:pPr>
      <w:r>
        <w:rPr>
          <w:rFonts w:hint="eastAsia"/>
          <w:b/>
          <w:kern w:val="0"/>
          <w:sz w:val="24"/>
          <w:szCs w:val="24"/>
          <w:highlight w:val="none"/>
        </w:rPr>
        <w:t>甲方（理财计划管理人）：</w:t>
      </w:r>
      <w:r>
        <w:rPr>
          <w:rFonts w:hint="eastAsia"/>
          <w:b/>
          <w:kern w:val="0"/>
          <w:sz w:val="24"/>
          <w:szCs w:val="24"/>
          <w:highlight w:val="none"/>
        </w:rPr>
        <w:fldChar w:fldCharType="begin">
          <w:ffData>
            <w:name w:val="Text4"/>
            <w:enabled/>
            <w:calcOnExit w:val="0"/>
            <w:textInput/>
          </w:ffData>
        </w:fldChar>
      </w:r>
      <w:bookmarkStart w:id="0" w:name="Text4"/>
      <w:r>
        <w:rPr>
          <w:rFonts w:hint="eastAsia"/>
          <w:b/>
          <w:kern w:val="0"/>
          <w:sz w:val="24"/>
          <w:szCs w:val="24"/>
          <w:highlight w:val="none"/>
        </w:rPr>
        <w:instrText xml:space="preserve">FORMTEXT</w:instrText>
      </w:r>
      <w:r>
        <w:rPr>
          <w:rFonts w:hint="eastAsia"/>
          <w:b/>
          <w:kern w:val="0"/>
          <w:sz w:val="24"/>
          <w:szCs w:val="24"/>
          <w:highlight w:val="none"/>
        </w:rPr>
        <w:fldChar w:fldCharType="separate"/>
      </w:r>
      <w:r>
        <w:rPr>
          <w:rFonts w:hint="default"/>
          <w:b/>
          <w:kern w:val="0"/>
          <w:sz w:val="24"/>
          <w:szCs w:val="24"/>
          <w:highlight w:val="none"/>
          <w:lang w:val="en-US"/>
        </w:rPr>
        <w:t> </w:t>
      </w:r>
      <w:r>
        <w:rPr>
          <w:rFonts w:hint="eastAsia"/>
          <w:b/>
          <w:kern w:val="0"/>
          <w:sz w:val="24"/>
          <w:szCs w:val="24"/>
          <w:highlight w:val="none"/>
          <w:u w:val="none"/>
          <w:shd w:val="clear" w:color="auto" w:fill="auto"/>
          <w:lang w:eastAsia="zh-CN"/>
        </w:rPr>
        <w:t>太原市城区农村信用合作联社</w:t>
      </w:r>
      <w:r>
        <w:rPr>
          <w:rFonts w:hint="default"/>
          <w:b/>
          <w:kern w:val="0"/>
          <w:sz w:val="24"/>
          <w:szCs w:val="24"/>
          <w:highlight w:val="none"/>
          <w:lang w:val="en-US"/>
        </w:rPr>
        <w:t>    </w:t>
      </w:r>
      <w:r>
        <w:rPr>
          <w:rFonts w:hint="eastAsia"/>
          <w:b/>
          <w:kern w:val="0"/>
          <w:sz w:val="24"/>
          <w:szCs w:val="24"/>
          <w:highlight w:val="none"/>
        </w:rPr>
        <w:fldChar w:fldCharType="end"/>
      </w:r>
      <w:bookmarkEnd w:id="0"/>
    </w:p>
    <w:p>
      <w:pPr>
        <w:widowControl/>
        <w:spacing w:before="156" w:beforeLines="0" w:after="156" w:afterLines="0" w:line="420" w:lineRule="exact"/>
        <w:ind w:left="850" w:leftChars="405" w:firstLine="2"/>
        <w:jc w:val="left"/>
        <w:rPr>
          <w:rFonts w:hint="eastAsia" w:ascii="Times New Roman" w:hAnsi="Times New Roman" w:eastAsia="宋体" w:cs="Times New Roman"/>
          <w:b w:val="0"/>
          <w:i w:val="0"/>
          <w:caps w:val="0"/>
          <w:spacing w:val="0"/>
          <w:kern w:val="0"/>
          <w:sz w:val="24"/>
          <w:szCs w:val="24"/>
          <w:highlight w:val="none"/>
          <w:shd w:val="clear" w:color="auto" w:fill="auto"/>
        </w:rPr>
      </w:pPr>
      <w:r>
        <w:rPr>
          <w:rFonts w:hint="eastAsia"/>
          <w:kern w:val="0"/>
          <w:sz w:val="24"/>
          <w:szCs w:val="24"/>
          <w:highlight w:val="none"/>
          <w:lang w:eastAsia="zh-CN"/>
        </w:rPr>
        <w:t>住所地</w:t>
      </w:r>
      <w:r>
        <w:rPr>
          <w:rFonts w:hint="eastAsia"/>
          <w:kern w:val="0"/>
          <w:sz w:val="24"/>
          <w:szCs w:val="24"/>
          <w:highlight w:val="none"/>
        </w:rPr>
        <w:t>：</w:t>
      </w:r>
      <w:r>
        <w:rPr>
          <w:rFonts w:hint="eastAsia"/>
          <w:color w:val="000000"/>
          <w:sz w:val="24"/>
          <w:szCs w:val="24"/>
          <w:highlight w:val="none"/>
          <w:u w:val="single"/>
          <w:shd w:val="clear" w:color="FFFFFF" w:fill="D9D9D9"/>
        </w:rPr>
        <w:fldChar w:fldCharType="begin">
          <w:ffData>
            <w:enabled/>
            <w:calcOnExit w:val="0"/>
            <w:textInput/>
          </w:ffData>
        </w:fldChar>
      </w:r>
      <w:r>
        <w:rPr>
          <w:color w:val="000000"/>
          <w:sz w:val="24"/>
          <w:szCs w:val="24"/>
          <w:highlight w:val="none"/>
          <w:u w:val="single"/>
          <w:shd w:val="clear" w:color="FFFFFF" w:fill="D9D9D9"/>
        </w:rPr>
        <w:instrText xml:space="preserve">FORMTEXT</w:instrText>
      </w:r>
      <w:r>
        <w:rPr>
          <w:rFonts w:hint="eastAsia"/>
          <w:color w:val="000000"/>
          <w:sz w:val="24"/>
          <w:szCs w:val="24"/>
          <w:highlight w:val="none"/>
          <w:u w:val="single"/>
          <w:shd w:val="clear" w:color="FFFFFF" w:fill="D9D9D9"/>
        </w:rPr>
        <w:fldChar w:fldCharType="separate"/>
      </w:r>
      <w:r>
        <w:rPr>
          <w:rFonts w:hint="eastAsia"/>
          <w:color w:val="000000"/>
          <w:sz w:val="24"/>
          <w:szCs w:val="24"/>
          <w:highlight w:val="none"/>
          <w:u w:val="single"/>
          <w:shd w:val="clear" w:color="FFFFFF" w:fill="D9D9D9"/>
        </w:rPr>
        <w:t> 太原市小店区学府街126号C座 </w:t>
      </w:r>
      <w:r>
        <w:rPr>
          <w:rFonts w:hint="eastAsia"/>
          <w:color w:val="000000"/>
          <w:sz w:val="24"/>
          <w:szCs w:val="24"/>
          <w:highlight w:val="none"/>
          <w:u w:val="single"/>
          <w:shd w:val="clear" w:color="FFFFFF" w:fill="D9D9D9"/>
        </w:rPr>
        <w:fldChar w:fldCharType="end"/>
      </w:r>
    </w:p>
    <w:p>
      <w:pPr>
        <w:widowControl/>
        <w:spacing w:before="156" w:beforeLines="0" w:after="156" w:afterLines="0" w:line="420" w:lineRule="exact"/>
        <w:ind w:left="850" w:leftChars="405" w:firstLine="2"/>
        <w:jc w:val="left"/>
        <w:rPr>
          <w:kern w:val="0"/>
          <w:sz w:val="24"/>
          <w:szCs w:val="24"/>
          <w:highlight w:val="none"/>
        </w:rPr>
      </w:pPr>
      <w:r>
        <w:rPr>
          <w:rFonts w:hint="eastAsia"/>
          <w:kern w:val="0"/>
          <w:sz w:val="24"/>
          <w:szCs w:val="24"/>
          <w:highlight w:val="none"/>
        </w:rPr>
        <w:t>法定代表人或负责人：</w:t>
      </w:r>
      <w:r>
        <w:rPr>
          <w:rFonts w:hint="eastAsia"/>
          <w:color w:val="000000"/>
          <w:sz w:val="24"/>
          <w:szCs w:val="24"/>
          <w:highlight w:val="none"/>
          <w:u w:val="single"/>
          <w:shd w:val="clear" w:color="FFFFFF" w:fill="D9D9D9"/>
        </w:rPr>
        <w:fldChar w:fldCharType="begin">
          <w:ffData>
            <w:enabled/>
            <w:calcOnExit w:val="0"/>
            <w:textInput/>
          </w:ffData>
        </w:fldChar>
      </w:r>
      <w:r>
        <w:rPr>
          <w:color w:val="000000"/>
          <w:sz w:val="24"/>
          <w:szCs w:val="24"/>
          <w:highlight w:val="none"/>
          <w:u w:val="single"/>
          <w:shd w:val="clear" w:color="FFFFFF" w:fill="D9D9D9"/>
        </w:rPr>
        <w:instrText xml:space="preserve">FORMTEXT</w:instrText>
      </w:r>
      <w:r>
        <w:rPr>
          <w:rFonts w:hint="eastAsia"/>
          <w:color w:val="000000"/>
          <w:sz w:val="24"/>
          <w:szCs w:val="24"/>
          <w:highlight w:val="none"/>
          <w:u w:val="single"/>
          <w:shd w:val="clear" w:color="FFFFFF" w:fill="D9D9D9"/>
        </w:rPr>
        <w:fldChar w:fldCharType="separate"/>
      </w:r>
      <w:r>
        <w:rPr>
          <w:rFonts w:hint="eastAsia"/>
          <w:color w:val="000000"/>
          <w:sz w:val="24"/>
          <w:szCs w:val="24"/>
          <w:highlight w:val="none"/>
          <w:u w:val="single"/>
          <w:shd w:val="clear" w:color="FFFFFF" w:fill="D9D9D9"/>
        </w:rPr>
        <w:t>薛保龙</w:t>
      </w:r>
      <w:r>
        <w:rPr>
          <w:rFonts w:hint="eastAsia"/>
          <w:color w:val="000000"/>
          <w:sz w:val="24"/>
          <w:szCs w:val="24"/>
          <w:highlight w:val="none"/>
          <w:u w:val="single"/>
          <w:shd w:val="clear" w:color="FFFFFF" w:fill="D9D9D9"/>
        </w:rPr>
        <w:fldChar w:fldCharType="end"/>
      </w:r>
      <w:r>
        <w:rPr>
          <w:kern w:val="0"/>
          <w:sz w:val="24"/>
          <w:szCs w:val="24"/>
          <w:highlight w:val="none"/>
        </w:rPr>
        <w:t xml:space="preserve"> </w:t>
      </w:r>
    </w:p>
    <w:p>
      <w:pPr>
        <w:widowControl/>
        <w:spacing w:before="156" w:beforeLines="0" w:after="156" w:afterLines="0" w:line="420" w:lineRule="exact"/>
        <w:ind w:left="850" w:leftChars="405" w:firstLine="2"/>
        <w:jc w:val="left"/>
        <w:rPr>
          <w:kern w:val="0"/>
          <w:sz w:val="24"/>
          <w:szCs w:val="24"/>
          <w:highlight w:val="none"/>
        </w:rPr>
      </w:pPr>
      <w:r>
        <w:rPr>
          <w:rFonts w:hint="eastAsia"/>
          <w:kern w:val="0"/>
          <w:sz w:val="24"/>
          <w:szCs w:val="24"/>
          <w:highlight w:val="none"/>
        </w:rPr>
        <w:t>联系人：</w:t>
      </w:r>
      <w:r>
        <w:rPr>
          <w:rFonts w:hint="eastAsia"/>
          <w:color w:val="000000"/>
          <w:sz w:val="24"/>
          <w:szCs w:val="24"/>
          <w:highlight w:val="none"/>
          <w:u w:val="single"/>
          <w:shd w:val="clear" w:color="FFFFFF" w:fill="D9D9D9"/>
        </w:rPr>
        <w:fldChar w:fldCharType="begin">
          <w:ffData>
            <w:enabled/>
            <w:calcOnExit w:val="0"/>
            <w:textInput/>
          </w:ffData>
        </w:fldChar>
      </w:r>
      <w:r>
        <w:rPr>
          <w:color w:val="000000"/>
          <w:sz w:val="24"/>
          <w:szCs w:val="24"/>
          <w:highlight w:val="none"/>
          <w:u w:val="single"/>
          <w:shd w:val="clear" w:color="FFFFFF" w:fill="D9D9D9"/>
        </w:rPr>
        <w:instrText xml:space="preserve">FORMTEXT</w:instrText>
      </w:r>
      <w:r>
        <w:rPr>
          <w:rFonts w:hint="eastAsia"/>
          <w:color w:val="000000"/>
          <w:sz w:val="24"/>
          <w:szCs w:val="24"/>
          <w:highlight w:val="none"/>
          <w:u w:val="single"/>
          <w:shd w:val="clear" w:color="FFFFFF" w:fill="D9D9D9"/>
        </w:rPr>
        <w:fldChar w:fldCharType="separate"/>
      </w:r>
      <w:r>
        <w:rPr>
          <w:rFonts w:hint="eastAsia"/>
          <w:color w:val="000000"/>
          <w:sz w:val="24"/>
          <w:szCs w:val="24"/>
          <w:highlight w:val="none"/>
          <w:u w:val="single"/>
          <w:shd w:val="clear" w:color="FFFFFF" w:fill="D9D9D9"/>
          <w:lang w:eastAsia="zh-CN"/>
        </w:rPr>
        <w:t>刘佳</w:t>
      </w:r>
      <w:r>
        <w:rPr>
          <w:rFonts w:hint="eastAsia"/>
          <w:color w:val="000000"/>
          <w:sz w:val="24"/>
          <w:szCs w:val="24"/>
          <w:highlight w:val="none"/>
          <w:u w:val="single"/>
          <w:shd w:val="clear" w:color="FFFFFF" w:fill="D9D9D9"/>
        </w:rPr>
        <w:fldChar w:fldCharType="end"/>
      </w:r>
    </w:p>
    <w:p>
      <w:pPr>
        <w:widowControl/>
        <w:spacing w:before="156" w:beforeLines="0" w:after="156" w:afterLines="0" w:line="420" w:lineRule="exact"/>
        <w:ind w:left="850" w:leftChars="405" w:firstLine="2"/>
        <w:jc w:val="left"/>
        <w:rPr>
          <w:kern w:val="0"/>
          <w:sz w:val="24"/>
          <w:szCs w:val="24"/>
          <w:highlight w:val="none"/>
        </w:rPr>
      </w:pPr>
      <w:r>
        <w:rPr>
          <w:rFonts w:hint="eastAsia"/>
          <w:kern w:val="0"/>
          <w:sz w:val="24"/>
          <w:szCs w:val="24"/>
          <w:highlight w:val="none"/>
        </w:rPr>
        <w:t>联系电话：</w:t>
      </w:r>
      <w:r>
        <w:rPr>
          <w:rFonts w:hint="eastAsia"/>
          <w:color w:val="000000"/>
          <w:sz w:val="24"/>
          <w:szCs w:val="24"/>
          <w:highlight w:val="none"/>
          <w:u w:val="single"/>
          <w:shd w:val="clear" w:color="FFFFFF" w:fill="D9D9D9"/>
        </w:rPr>
        <w:fldChar w:fldCharType="begin">
          <w:ffData>
            <w:enabled/>
            <w:calcOnExit w:val="0"/>
            <w:textInput/>
          </w:ffData>
        </w:fldChar>
      </w:r>
      <w:r>
        <w:rPr>
          <w:color w:val="000000"/>
          <w:sz w:val="24"/>
          <w:szCs w:val="24"/>
          <w:highlight w:val="none"/>
          <w:u w:val="single"/>
          <w:shd w:val="clear" w:color="FFFFFF" w:fill="D9D9D9"/>
        </w:rPr>
        <w:instrText xml:space="preserve">FORMTEXT</w:instrText>
      </w:r>
      <w:r>
        <w:rPr>
          <w:rFonts w:hint="eastAsia"/>
          <w:color w:val="000000"/>
          <w:sz w:val="24"/>
          <w:szCs w:val="24"/>
          <w:highlight w:val="none"/>
          <w:u w:val="single"/>
          <w:shd w:val="clear" w:color="FFFFFF" w:fill="D9D9D9"/>
        </w:rPr>
        <w:fldChar w:fldCharType="separate"/>
      </w:r>
      <w:r>
        <w:rPr>
          <w:rFonts w:hint="eastAsia"/>
          <w:color w:val="000000"/>
          <w:sz w:val="24"/>
          <w:szCs w:val="24"/>
          <w:highlight w:val="none"/>
          <w:u w:val="single"/>
          <w:shd w:val="clear" w:color="FFFFFF" w:fill="D9D9D9"/>
          <w:lang w:val="en-US" w:eastAsia="zh-CN"/>
        </w:rPr>
        <w:t>0351-5657089</w:t>
      </w:r>
      <w:r>
        <w:rPr>
          <w:rFonts w:hint="eastAsia"/>
          <w:color w:val="000000"/>
          <w:sz w:val="24"/>
          <w:szCs w:val="24"/>
          <w:highlight w:val="none"/>
          <w:u w:val="single"/>
          <w:shd w:val="clear" w:color="FFFFFF" w:fill="D9D9D9"/>
        </w:rPr>
        <w:fldChar w:fldCharType="end"/>
      </w:r>
    </w:p>
    <w:p>
      <w:pPr>
        <w:widowControl/>
        <w:spacing w:before="156" w:beforeLines="0" w:after="156" w:afterLines="0" w:line="420" w:lineRule="exact"/>
        <w:ind w:left="850" w:leftChars="405" w:firstLine="2"/>
        <w:jc w:val="left"/>
        <w:rPr>
          <w:rFonts w:hint="eastAsia"/>
          <w:color w:val="000000"/>
          <w:sz w:val="24"/>
          <w:szCs w:val="24"/>
          <w:highlight w:val="none"/>
          <w:u w:val="single"/>
          <w:shd w:val="clear" w:color="FFFFFF" w:fill="D9D9D9"/>
        </w:rPr>
      </w:pPr>
      <w:r>
        <w:rPr>
          <w:rFonts w:hint="eastAsia"/>
          <w:kern w:val="0"/>
          <w:sz w:val="24"/>
          <w:szCs w:val="24"/>
          <w:highlight w:val="none"/>
        </w:rPr>
        <w:t>传真：</w:t>
      </w:r>
      <w:r>
        <w:rPr>
          <w:rFonts w:hint="eastAsia"/>
          <w:color w:val="000000"/>
          <w:sz w:val="24"/>
          <w:szCs w:val="24"/>
          <w:highlight w:val="none"/>
          <w:u w:val="single"/>
          <w:shd w:val="clear" w:color="FFFFFF" w:fill="D9D9D9"/>
        </w:rPr>
        <w:fldChar w:fldCharType="begin">
          <w:ffData>
            <w:enabled/>
            <w:calcOnExit w:val="0"/>
            <w:textInput/>
          </w:ffData>
        </w:fldChar>
      </w:r>
      <w:r>
        <w:rPr>
          <w:color w:val="000000"/>
          <w:sz w:val="24"/>
          <w:szCs w:val="24"/>
          <w:highlight w:val="none"/>
          <w:u w:val="single"/>
          <w:shd w:val="clear" w:color="FFFFFF" w:fill="D9D9D9"/>
        </w:rPr>
        <w:instrText xml:space="preserve">FORMTEXT</w:instrText>
      </w:r>
      <w:r>
        <w:rPr>
          <w:rFonts w:hint="eastAsia"/>
          <w:color w:val="000000"/>
          <w:sz w:val="24"/>
          <w:szCs w:val="24"/>
          <w:highlight w:val="none"/>
          <w:u w:val="single"/>
          <w:shd w:val="clear" w:color="FFFFFF" w:fill="D9D9D9"/>
        </w:rPr>
        <w:fldChar w:fldCharType="separate"/>
      </w:r>
      <w:r>
        <w:rPr>
          <w:color w:val="000000"/>
          <w:sz w:val="24"/>
          <w:szCs w:val="24"/>
          <w:highlight w:val="none"/>
          <w:u w:val="single"/>
          <w:shd w:val="clear" w:color="FFFFFF" w:fill="D9D9D9"/>
        </w:rPr>
        <w:t>     </w:t>
      </w:r>
      <w:r>
        <w:rPr>
          <w:rFonts w:hint="eastAsia"/>
          <w:color w:val="000000"/>
          <w:sz w:val="24"/>
          <w:szCs w:val="24"/>
          <w:highlight w:val="none"/>
          <w:u w:val="single"/>
          <w:shd w:val="clear" w:color="FFFFFF" w:fill="D9D9D9"/>
        </w:rPr>
        <w:fldChar w:fldCharType="end"/>
      </w:r>
    </w:p>
    <w:p>
      <w:pPr>
        <w:widowControl/>
        <w:spacing w:before="156" w:beforeLines="0" w:after="156" w:afterLines="0" w:line="420" w:lineRule="exact"/>
        <w:ind w:left="850" w:leftChars="405" w:firstLine="2"/>
        <w:jc w:val="left"/>
        <w:rPr>
          <w:rFonts w:hint="eastAsia" w:eastAsia="宋体"/>
          <w:color w:val="000000"/>
          <w:sz w:val="24"/>
          <w:szCs w:val="24"/>
          <w:highlight w:val="none"/>
          <w:u w:val="single"/>
          <w:shd w:val="clear" w:color="FFFFFF" w:fill="D9D9D9"/>
          <w:lang w:val="en-US" w:eastAsia="zh-CN"/>
        </w:rPr>
      </w:pPr>
    </w:p>
    <w:p>
      <w:pPr>
        <w:autoSpaceDE w:val="0"/>
        <w:autoSpaceDN w:val="0"/>
        <w:snapToGrid w:val="0"/>
        <w:spacing w:line="420" w:lineRule="exact"/>
        <w:ind w:left="850" w:leftChars="405" w:firstLine="2"/>
        <w:jc w:val="left"/>
        <w:rPr>
          <w:kern w:val="0"/>
          <w:sz w:val="24"/>
          <w:szCs w:val="24"/>
          <w:highlight w:val="none"/>
        </w:rPr>
      </w:pPr>
    </w:p>
    <w:p>
      <w:pPr>
        <w:widowControl/>
        <w:spacing w:before="156" w:beforeLines="0" w:after="156" w:afterLines="0" w:line="420" w:lineRule="exact"/>
        <w:ind w:left="850" w:leftChars="405" w:firstLine="2"/>
        <w:jc w:val="left"/>
        <w:rPr>
          <w:b/>
          <w:kern w:val="0"/>
          <w:sz w:val="24"/>
          <w:szCs w:val="24"/>
          <w:highlight w:val="none"/>
        </w:rPr>
      </w:pPr>
      <w:r>
        <w:rPr>
          <w:rFonts w:hint="eastAsia"/>
          <w:b/>
          <w:kern w:val="0"/>
          <w:sz w:val="24"/>
          <w:szCs w:val="24"/>
          <w:highlight w:val="none"/>
        </w:rPr>
        <w:t>乙方（理财</w:t>
      </w:r>
      <w:r>
        <w:rPr>
          <w:rFonts w:hint="eastAsia"/>
          <w:b/>
          <w:kern w:val="0"/>
          <w:sz w:val="24"/>
          <w:szCs w:val="24"/>
          <w:highlight w:val="none"/>
          <w:lang w:eastAsia="zh-CN"/>
        </w:rPr>
        <w:t>计划</w:t>
      </w:r>
      <w:r>
        <w:rPr>
          <w:rFonts w:hint="eastAsia"/>
          <w:b/>
          <w:kern w:val="0"/>
          <w:sz w:val="24"/>
          <w:szCs w:val="24"/>
          <w:highlight w:val="none"/>
        </w:rPr>
        <w:t>托管人）：中国民生银行股份有限公司</w:t>
      </w:r>
    </w:p>
    <w:p>
      <w:pPr>
        <w:widowControl/>
        <w:spacing w:before="156" w:beforeLines="0" w:after="156" w:afterLines="0" w:line="420" w:lineRule="exact"/>
        <w:ind w:left="850" w:leftChars="405" w:firstLine="2"/>
        <w:jc w:val="left"/>
        <w:rPr>
          <w:rFonts w:hint="eastAsia"/>
          <w:kern w:val="0"/>
          <w:sz w:val="24"/>
          <w:szCs w:val="24"/>
          <w:highlight w:val="none"/>
        </w:rPr>
      </w:pPr>
      <w:r>
        <w:rPr>
          <w:rFonts w:hint="eastAsia"/>
          <w:kern w:val="0"/>
          <w:sz w:val="24"/>
          <w:szCs w:val="24"/>
          <w:highlight w:val="none"/>
          <w:lang w:val="en-US" w:eastAsia="zh-CN"/>
        </w:rPr>
        <w:t>住所地</w:t>
      </w:r>
      <w:r>
        <w:rPr>
          <w:rFonts w:hint="eastAsia"/>
          <w:kern w:val="0"/>
          <w:sz w:val="24"/>
          <w:szCs w:val="24"/>
          <w:highlight w:val="none"/>
        </w:rPr>
        <w:t>：</w:t>
      </w:r>
      <w:r>
        <w:rPr>
          <w:rFonts w:hint="eastAsia"/>
          <w:color w:val="000000"/>
          <w:sz w:val="24"/>
          <w:szCs w:val="24"/>
          <w:highlight w:val="none"/>
          <w:u w:val="single"/>
          <w:shd w:val="clear" w:color="FFFFFF" w:fill="D9D9D9"/>
        </w:rPr>
        <w:fldChar w:fldCharType="begin">
          <w:ffData>
            <w:enabled/>
            <w:calcOnExit w:val="0"/>
            <w:textInput/>
          </w:ffData>
        </w:fldChar>
      </w:r>
      <w:r>
        <w:rPr>
          <w:color w:val="000000"/>
          <w:sz w:val="24"/>
          <w:szCs w:val="24"/>
          <w:highlight w:val="none"/>
          <w:u w:val="single"/>
          <w:shd w:val="clear" w:color="FFFFFF" w:fill="D9D9D9"/>
        </w:rPr>
        <w:instrText xml:space="preserve">FORMTEXT</w:instrText>
      </w:r>
      <w:r>
        <w:rPr>
          <w:rFonts w:hint="eastAsia"/>
          <w:color w:val="000000"/>
          <w:sz w:val="24"/>
          <w:szCs w:val="24"/>
          <w:highlight w:val="none"/>
          <w:u w:val="single"/>
          <w:shd w:val="clear" w:color="FFFFFF" w:fill="D9D9D9"/>
        </w:rPr>
        <w:fldChar w:fldCharType="separate"/>
      </w:r>
      <w:r>
        <w:rPr>
          <w:rFonts w:hint="eastAsia"/>
          <w:color w:val="000000"/>
          <w:sz w:val="24"/>
          <w:szCs w:val="24"/>
          <w:highlight w:val="none"/>
          <w:u w:val="single"/>
          <w:shd w:val="clear" w:color="FFFFFF" w:fill="D9D9D9"/>
          <w:lang w:eastAsia="zh-CN"/>
        </w:rPr>
        <w:t>北京市西城区复兴门内大街</w:t>
      </w:r>
      <w:r>
        <w:rPr>
          <w:rFonts w:hint="eastAsia"/>
          <w:color w:val="000000"/>
          <w:sz w:val="24"/>
          <w:szCs w:val="24"/>
          <w:highlight w:val="none"/>
          <w:u w:val="single"/>
          <w:shd w:val="clear" w:color="FFFFFF" w:fill="D9D9D9"/>
          <w:lang w:val="en-US" w:eastAsia="zh-CN"/>
        </w:rPr>
        <w:t>2号</w:t>
      </w:r>
      <w:r>
        <w:rPr>
          <w:rFonts w:hint="eastAsia"/>
          <w:color w:val="000000"/>
          <w:sz w:val="24"/>
          <w:szCs w:val="24"/>
          <w:highlight w:val="none"/>
          <w:u w:val="single"/>
          <w:shd w:val="clear" w:color="FFFFFF" w:fill="D9D9D9"/>
        </w:rPr>
        <w:fldChar w:fldCharType="end"/>
      </w:r>
    </w:p>
    <w:p>
      <w:pPr>
        <w:widowControl/>
        <w:spacing w:before="156" w:beforeLines="0" w:after="156" w:afterLines="0" w:line="420" w:lineRule="exact"/>
        <w:ind w:left="850" w:leftChars="405" w:firstLine="2"/>
        <w:jc w:val="left"/>
        <w:rPr>
          <w:rFonts w:hint="eastAsia"/>
          <w:kern w:val="0"/>
          <w:sz w:val="24"/>
          <w:szCs w:val="24"/>
          <w:highlight w:val="none"/>
        </w:rPr>
      </w:pPr>
      <w:r>
        <w:rPr>
          <w:rFonts w:hint="eastAsia"/>
          <w:kern w:val="0"/>
          <w:sz w:val="24"/>
          <w:szCs w:val="24"/>
          <w:highlight w:val="none"/>
        </w:rPr>
        <w:t>法定代表人或负责人：</w:t>
      </w:r>
      <w:r>
        <w:rPr>
          <w:rFonts w:hint="eastAsia"/>
          <w:color w:val="000000"/>
          <w:sz w:val="24"/>
          <w:szCs w:val="24"/>
          <w:highlight w:val="none"/>
          <w:u w:val="single"/>
          <w:shd w:val="clear" w:color="FFFFFF" w:fill="D9D9D9"/>
        </w:rPr>
        <w:fldChar w:fldCharType="begin">
          <w:ffData>
            <w:enabled/>
            <w:calcOnExit w:val="0"/>
            <w:textInput/>
          </w:ffData>
        </w:fldChar>
      </w:r>
      <w:r>
        <w:rPr>
          <w:color w:val="000000"/>
          <w:sz w:val="24"/>
          <w:szCs w:val="24"/>
          <w:highlight w:val="none"/>
          <w:u w:val="single"/>
          <w:shd w:val="clear" w:color="FFFFFF" w:fill="D9D9D9"/>
        </w:rPr>
        <w:instrText xml:space="preserve">FORMTEXT</w:instrText>
      </w:r>
      <w:r>
        <w:rPr>
          <w:rFonts w:hint="eastAsia"/>
          <w:color w:val="000000"/>
          <w:sz w:val="24"/>
          <w:szCs w:val="24"/>
          <w:highlight w:val="none"/>
          <w:u w:val="single"/>
          <w:shd w:val="clear" w:color="FFFFFF" w:fill="D9D9D9"/>
        </w:rPr>
        <w:fldChar w:fldCharType="separate"/>
      </w:r>
      <w:r>
        <w:rPr>
          <w:rFonts w:hint="eastAsia"/>
          <w:color w:val="000000"/>
          <w:sz w:val="24"/>
          <w:szCs w:val="24"/>
          <w:highlight w:val="none"/>
          <w:u w:val="single"/>
          <w:shd w:val="clear" w:color="FFFFFF" w:fill="D9D9D9"/>
          <w:lang w:eastAsia="zh-CN"/>
        </w:rPr>
        <w:t>洪崎</w:t>
      </w:r>
      <w:r>
        <w:rPr>
          <w:rFonts w:hint="eastAsia"/>
          <w:color w:val="000000"/>
          <w:sz w:val="24"/>
          <w:szCs w:val="24"/>
          <w:highlight w:val="none"/>
          <w:u w:val="single"/>
          <w:shd w:val="clear" w:color="FFFFFF" w:fill="D9D9D9"/>
        </w:rPr>
        <w:fldChar w:fldCharType="end"/>
      </w:r>
    </w:p>
    <w:p>
      <w:pPr>
        <w:widowControl/>
        <w:spacing w:before="156" w:beforeLines="0" w:after="156" w:afterLines="0" w:line="420" w:lineRule="exact"/>
        <w:ind w:left="850" w:leftChars="405" w:firstLine="2"/>
        <w:jc w:val="left"/>
        <w:rPr>
          <w:kern w:val="0"/>
          <w:sz w:val="24"/>
          <w:szCs w:val="24"/>
          <w:highlight w:val="none"/>
        </w:rPr>
      </w:pPr>
      <w:r>
        <w:rPr>
          <w:rFonts w:hint="eastAsia"/>
          <w:kern w:val="0"/>
          <w:sz w:val="24"/>
          <w:szCs w:val="24"/>
          <w:highlight w:val="none"/>
        </w:rPr>
        <w:t>联系人：</w:t>
      </w:r>
      <w:r>
        <w:rPr>
          <w:rFonts w:hint="eastAsia"/>
          <w:color w:val="000000"/>
          <w:highlight w:val="none"/>
          <w:u w:val="single"/>
          <w:shd w:val="clear" w:color="FFFFFF" w:fill="D9D9D9"/>
        </w:rPr>
        <w:fldChar w:fldCharType="begin">
          <w:ffData>
            <w:enabled/>
            <w:calcOnExit w:val="0"/>
            <w:textInput/>
          </w:ffData>
        </w:fldChar>
      </w:r>
      <w:r>
        <w:rPr>
          <w:rFonts w:hint="eastAsia"/>
          <w:color w:val="000000"/>
          <w:highlight w:val="none"/>
          <w:u w:val="single"/>
          <w:shd w:val="clear" w:color="FFFFFF" w:fill="D9D9D9"/>
        </w:rPr>
        <w:instrText xml:space="preserve">FORMTEXT</w:instrText>
      </w:r>
      <w:r>
        <w:rPr>
          <w:rFonts w:hint="eastAsia"/>
          <w:color w:val="000000"/>
          <w:highlight w:val="none"/>
          <w:u w:val="single"/>
          <w:shd w:val="clear" w:color="FFFFFF" w:fill="D9D9D9"/>
        </w:rPr>
        <w:fldChar w:fldCharType="separate"/>
      </w:r>
      <w:r>
        <w:rPr>
          <w:rFonts w:hint="eastAsia"/>
          <w:color w:val="000000"/>
          <w:highlight w:val="none"/>
          <w:u w:val="single"/>
          <w:shd w:val="clear" w:color="FFFFFF" w:fill="D9D9D9"/>
        </w:rPr>
        <w:t>袁耀光</w:t>
      </w:r>
      <w:r>
        <w:rPr>
          <w:rFonts w:hint="eastAsia"/>
          <w:color w:val="000000"/>
          <w:highlight w:val="none"/>
          <w:u w:val="single"/>
          <w:shd w:val="clear" w:color="FFFFFF" w:fill="D9D9D9"/>
        </w:rPr>
        <w:fldChar w:fldCharType="end"/>
      </w:r>
    </w:p>
    <w:p>
      <w:pPr>
        <w:widowControl/>
        <w:spacing w:before="156" w:beforeLines="0" w:after="156" w:afterLines="0" w:line="420" w:lineRule="exact"/>
        <w:ind w:left="850" w:leftChars="405" w:firstLine="2"/>
        <w:jc w:val="left"/>
        <w:rPr>
          <w:kern w:val="0"/>
          <w:sz w:val="24"/>
          <w:szCs w:val="24"/>
          <w:highlight w:val="none"/>
        </w:rPr>
      </w:pPr>
      <w:r>
        <w:rPr>
          <w:rFonts w:hint="eastAsia"/>
          <w:kern w:val="0"/>
          <w:sz w:val="24"/>
          <w:szCs w:val="24"/>
          <w:highlight w:val="none"/>
        </w:rPr>
        <w:t>联系电话：</w:t>
      </w:r>
      <w:r>
        <w:rPr>
          <w:rFonts w:hint="eastAsia"/>
          <w:color w:val="000000"/>
          <w:highlight w:val="none"/>
          <w:u w:val="single"/>
          <w:shd w:val="clear" w:color="FFFFFF" w:fill="D9D9D9"/>
        </w:rPr>
        <w:fldChar w:fldCharType="begin">
          <w:ffData>
            <w:enabled/>
            <w:calcOnExit w:val="0"/>
            <w:textInput/>
          </w:ffData>
        </w:fldChar>
      </w:r>
      <w:r>
        <w:rPr>
          <w:rFonts w:hint="eastAsia"/>
          <w:color w:val="000000"/>
          <w:highlight w:val="none"/>
          <w:u w:val="single"/>
          <w:shd w:val="clear" w:color="FFFFFF" w:fill="D9D9D9"/>
        </w:rPr>
        <w:instrText xml:space="preserve">FORMTEXT</w:instrText>
      </w:r>
      <w:r>
        <w:rPr>
          <w:rFonts w:hint="eastAsia"/>
          <w:color w:val="000000"/>
          <w:highlight w:val="none"/>
          <w:u w:val="single"/>
          <w:shd w:val="clear" w:color="FFFFFF" w:fill="D9D9D9"/>
        </w:rPr>
        <w:fldChar w:fldCharType="separate"/>
      </w:r>
      <w:r>
        <w:rPr>
          <w:rFonts w:hint="eastAsia"/>
          <w:color w:val="000000"/>
          <w:highlight w:val="none"/>
          <w:u w:val="single"/>
          <w:shd w:val="clear" w:color="FFFFFF" w:fill="D9D9D9"/>
        </w:rPr>
        <w:t>18910766709</w:t>
      </w:r>
      <w:r>
        <w:rPr>
          <w:rFonts w:hint="eastAsia"/>
          <w:color w:val="000000"/>
          <w:highlight w:val="none"/>
          <w:u w:val="single"/>
          <w:shd w:val="clear" w:color="FFFFFF" w:fill="D9D9D9"/>
        </w:rPr>
        <w:fldChar w:fldCharType="end"/>
      </w:r>
      <w:r>
        <w:rPr>
          <w:kern w:val="0"/>
          <w:sz w:val="24"/>
          <w:szCs w:val="24"/>
          <w:highlight w:val="none"/>
        </w:rPr>
        <w:t xml:space="preserve"> </w:t>
      </w:r>
    </w:p>
    <w:p>
      <w:pPr>
        <w:widowControl/>
        <w:spacing w:before="156" w:beforeLines="0" w:after="156" w:afterLines="0" w:line="420" w:lineRule="exact"/>
        <w:ind w:left="850" w:leftChars="405" w:firstLine="2"/>
        <w:jc w:val="left"/>
        <w:rPr>
          <w:rFonts w:hint="eastAsia"/>
          <w:color w:val="000000"/>
          <w:highlight w:val="none"/>
          <w:u w:val="single"/>
          <w:shd w:val="clear" w:color="FFFFFF" w:fill="D9D9D9"/>
        </w:rPr>
      </w:pPr>
      <w:r>
        <w:rPr>
          <w:rFonts w:hint="eastAsia"/>
          <w:kern w:val="0"/>
          <w:sz w:val="24"/>
          <w:szCs w:val="24"/>
          <w:highlight w:val="none"/>
        </w:rPr>
        <w:t>传真：</w:t>
      </w:r>
      <w:r>
        <w:rPr>
          <w:rFonts w:hint="eastAsia"/>
          <w:color w:val="000000"/>
          <w:highlight w:val="none"/>
          <w:u w:val="single"/>
          <w:shd w:val="clear" w:color="FFFFFF" w:fill="D9D9D9"/>
        </w:rPr>
        <w:fldChar w:fldCharType="begin">
          <w:ffData>
            <w:enabled/>
            <w:calcOnExit w:val="0"/>
            <w:textInput/>
          </w:ffData>
        </w:fldChar>
      </w:r>
      <w:r>
        <w:rPr>
          <w:rFonts w:hint="eastAsia"/>
          <w:color w:val="000000"/>
          <w:highlight w:val="none"/>
          <w:u w:val="single"/>
          <w:shd w:val="clear" w:color="FFFFFF" w:fill="D9D9D9"/>
        </w:rPr>
        <w:instrText xml:space="preserve">FORMTEXT</w:instrText>
      </w:r>
      <w:r>
        <w:rPr>
          <w:rFonts w:hint="eastAsia"/>
          <w:color w:val="000000"/>
          <w:highlight w:val="none"/>
          <w:u w:val="single"/>
          <w:shd w:val="clear" w:color="FFFFFF" w:fill="D9D9D9"/>
        </w:rPr>
        <w:fldChar w:fldCharType="separate"/>
      </w:r>
      <w:r>
        <w:rPr>
          <w:color w:val="000000"/>
          <w:highlight w:val="none"/>
          <w:u w:val="single"/>
          <w:shd w:val="clear" w:color="FFFFFF" w:fill="D9D9D9"/>
        </w:rPr>
        <w:t>     </w:t>
      </w:r>
      <w:r>
        <w:rPr>
          <w:rFonts w:hint="eastAsia"/>
          <w:color w:val="000000"/>
          <w:highlight w:val="none"/>
          <w:u w:val="single"/>
          <w:shd w:val="clear" w:color="FFFFFF" w:fill="D9D9D9"/>
        </w:rPr>
        <w:fldChar w:fldCharType="end"/>
      </w:r>
    </w:p>
    <w:p>
      <w:pPr>
        <w:widowControl/>
        <w:spacing w:before="156" w:beforeLines="0" w:after="156" w:afterLines="0" w:line="420" w:lineRule="exact"/>
        <w:ind w:left="850" w:leftChars="405" w:firstLine="2"/>
        <w:jc w:val="left"/>
        <w:rPr>
          <w:rFonts w:hint="eastAsia"/>
          <w:color w:val="000000"/>
          <w:highlight w:val="none"/>
          <w:u w:val="single"/>
          <w:shd w:val="clear" w:color="FFFFFF" w:fill="D9D9D9"/>
        </w:rPr>
      </w:pPr>
    </w:p>
    <w:p>
      <w:pPr>
        <w:pStyle w:val="18"/>
        <w:spacing w:line="420" w:lineRule="exact"/>
        <w:ind w:firstLine="560" w:firstLineChars="200"/>
        <w:jc w:val="center"/>
        <w:rPr>
          <w:rFonts w:ascii="Times New Roman" w:hAnsi="Times New Roman"/>
          <w:highlight w:val="none"/>
          <w:lang w:val="zh-CN"/>
        </w:rPr>
        <w:sectPr>
          <w:headerReference r:id="rId5" w:type="default"/>
          <w:footerReference r:id="rId6" w:type="default"/>
          <w:pgSz w:w="11849" w:h="16781"/>
          <w:pgMar w:top="964" w:right="964" w:bottom="964" w:left="964" w:header="850" w:footer="992" w:gutter="0"/>
          <w:pgNumType w:fmt="decimal"/>
          <w:cols w:space="720" w:num="1"/>
          <w:formProt w:val="1"/>
          <w:docGrid w:type="linesAndChars" w:linePitch="312" w:charSpace="0"/>
        </w:sectPr>
      </w:pPr>
    </w:p>
    <w:p>
      <w:pPr>
        <w:pStyle w:val="18"/>
        <w:ind w:firstLine="3250" w:firstLineChars="1161"/>
        <w:rPr>
          <w:rFonts w:ascii="Times New Roman" w:hAnsi="Times New Roman"/>
          <w:color w:val="auto"/>
          <w:highlight w:val="none"/>
        </w:rPr>
      </w:pPr>
      <w:bookmarkStart w:id="1" w:name="_Toc12488"/>
      <w:r>
        <w:rPr>
          <w:rFonts w:hint="eastAsia" w:ascii="Times New Roman" w:hAnsi="Times New Roman"/>
          <w:color w:val="auto"/>
          <w:highlight w:val="none"/>
          <w:lang w:val="zh-CN"/>
        </w:rPr>
        <w:t>目</w:t>
      </w:r>
      <w:r>
        <w:rPr>
          <w:rFonts w:hint="eastAsia" w:ascii="Times New Roman" w:hAnsi="Times New Roman"/>
          <w:color w:val="auto"/>
          <w:highlight w:val="none"/>
        </w:rPr>
        <w:t xml:space="preserve">    </w:t>
      </w:r>
      <w:r>
        <w:rPr>
          <w:rFonts w:hint="eastAsia" w:ascii="Times New Roman" w:hAnsi="Times New Roman"/>
          <w:color w:val="auto"/>
          <w:highlight w:val="none"/>
          <w:lang w:val="zh-CN"/>
        </w:rPr>
        <w:t>录</w:t>
      </w:r>
      <w:bookmarkEnd w:id="1"/>
    </w:p>
    <w:p>
      <w:pPr>
        <w:pStyle w:val="9"/>
        <w:tabs>
          <w:tab w:val="right" w:leader="dot" w:pos="8080"/>
        </w:tabs>
        <w:ind w:left="-142" w:leftChars="-68" w:right="848" w:rightChars="404" w:firstLine="0" w:firstLineChars="0"/>
        <w:rPr>
          <w:szCs w:val="21"/>
          <w:highlight w:val="none"/>
        </w:rPr>
      </w:pPr>
      <w:r>
        <w:rPr>
          <w:highlight w:val="none"/>
        </w:rPr>
        <w:fldChar w:fldCharType="begin"/>
      </w:r>
      <w:r>
        <w:rPr>
          <w:highlight w:val="none"/>
        </w:rPr>
        <w:instrText xml:space="preserve"> TOC \o "1-3" \h \z \u </w:instrText>
      </w:r>
      <w:r>
        <w:rPr>
          <w:highlight w:val="none"/>
        </w:rPr>
        <w:fldChar w:fldCharType="separate"/>
      </w:r>
      <w:r>
        <w:rPr>
          <w:szCs w:val="21"/>
          <w:highlight w:val="none"/>
        </w:rPr>
        <w:fldChar w:fldCharType="begin"/>
      </w:r>
      <w:r>
        <w:rPr>
          <w:szCs w:val="21"/>
          <w:highlight w:val="none"/>
        </w:rPr>
        <w:instrText xml:space="preserve"> HYPERLINK \l _Toc3134 </w:instrText>
      </w:r>
      <w:r>
        <w:rPr>
          <w:szCs w:val="21"/>
          <w:highlight w:val="none"/>
        </w:rPr>
        <w:fldChar w:fldCharType="separate"/>
      </w:r>
      <w:r>
        <w:rPr>
          <w:rFonts w:hint="eastAsia" w:cs="宋体"/>
          <w:highlight w:val="none"/>
        </w:rPr>
        <w:t>第一条</w:t>
      </w:r>
      <w:r>
        <w:rPr>
          <w:highlight w:val="none"/>
        </w:rPr>
        <w:t xml:space="preserve">  </w:t>
      </w:r>
      <w:r>
        <w:rPr>
          <w:rFonts w:hint="eastAsia" w:cs="宋体"/>
          <w:highlight w:val="none"/>
        </w:rPr>
        <w:t>委托事项及期限</w:t>
      </w:r>
      <w:r>
        <w:rPr>
          <w:szCs w:val="21"/>
          <w:highlight w:val="none"/>
        </w:rPr>
        <w:tab/>
      </w:r>
      <w:r>
        <w:rPr>
          <w:szCs w:val="21"/>
          <w:highlight w:val="none"/>
        </w:rPr>
        <w:fldChar w:fldCharType="begin"/>
      </w:r>
      <w:r>
        <w:rPr>
          <w:szCs w:val="21"/>
          <w:highlight w:val="none"/>
        </w:rPr>
        <w:instrText xml:space="preserve"> PAGEREF _Toc3134 </w:instrText>
      </w:r>
      <w:r>
        <w:rPr>
          <w:szCs w:val="21"/>
          <w:highlight w:val="none"/>
        </w:rPr>
        <w:fldChar w:fldCharType="separate"/>
      </w:r>
      <w:r>
        <w:rPr>
          <w:szCs w:val="21"/>
          <w:highlight w:val="none"/>
        </w:rPr>
        <w:t>4</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_Toc31138 </w:instrText>
      </w:r>
      <w:r>
        <w:rPr>
          <w:szCs w:val="21"/>
          <w:highlight w:val="none"/>
        </w:rPr>
        <w:fldChar w:fldCharType="separate"/>
      </w:r>
      <w:r>
        <w:rPr>
          <w:rFonts w:hint="eastAsia" w:cs="宋体"/>
          <w:highlight w:val="none"/>
        </w:rPr>
        <w:t>第二条</w:t>
      </w:r>
      <w:r>
        <w:rPr>
          <w:highlight w:val="none"/>
        </w:rPr>
        <w:t xml:space="preserve">  </w:t>
      </w:r>
      <w:r>
        <w:rPr>
          <w:rFonts w:hint="eastAsia" w:cs="宋体"/>
          <w:highlight w:val="none"/>
        </w:rPr>
        <w:t>甲方的权利及义务</w:t>
      </w:r>
      <w:r>
        <w:rPr>
          <w:szCs w:val="21"/>
          <w:highlight w:val="none"/>
        </w:rPr>
        <w:tab/>
      </w:r>
      <w:r>
        <w:rPr>
          <w:szCs w:val="21"/>
          <w:highlight w:val="none"/>
        </w:rPr>
        <w:fldChar w:fldCharType="begin"/>
      </w:r>
      <w:r>
        <w:rPr>
          <w:szCs w:val="21"/>
          <w:highlight w:val="none"/>
        </w:rPr>
        <w:instrText xml:space="preserve"> PAGEREF _Toc31138 </w:instrText>
      </w:r>
      <w:r>
        <w:rPr>
          <w:szCs w:val="21"/>
          <w:highlight w:val="none"/>
        </w:rPr>
        <w:fldChar w:fldCharType="separate"/>
      </w:r>
      <w:r>
        <w:rPr>
          <w:szCs w:val="21"/>
          <w:highlight w:val="none"/>
        </w:rPr>
        <w:t>4</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_Toc24794 </w:instrText>
      </w:r>
      <w:r>
        <w:rPr>
          <w:szCs w:val="21"/>
          <w:highlight w:val="none"/>
        </w:rPr>
        <w:fldChar w:fldCharType="separate"/>
      </w:r>
      <w:r>
        <w:rPr>
          <w:rFonts w:hint="eastAsia" w:cs="宋体"/>
          <w:highlight w:val="none"/>
        </w:rPr>
        <w:t>第三条</w:t>
      </w:r>
      <w:r>
        <w:rPr>
          <w:highlight w:val="none"/>
        </w:rPr>
        <w:t xml:space="preserve">  </w:t>
      </w:r>
      <w:r>
        <w:rPr>
          <w:rFonts w:hint="eastAsia" w:cs="宋体"/>
          <w:highlight w:val="none"/>
        </w:rPr>
        <w:t>乙方的权利及义务</w:t>
      </w:r>
      <w:r>
        <w:rPr>
          <w:szCs w:val="21"/>
          <w:highlight w:val="none"/>
        </w:rPr>
        <w:tab/>
      </w:r>
      <w:r>
        <w:rPr>
          <w:szCs w:val="21"/>
          <w:highlight w:val="none"/>
        </w:rPr>
        <w:fldChar w:fldCharType="begin"/>
      </w:r>
      <w:r>
        <w:rPr>
          <w:szCs w:val="21"/>
          <w:highlight w:val="none"/>
        </w:rPr>
        <w:instrText xml:space="preserve"> PAGEREF _Toc24794 </w:instrText>
      </w:r>
      <w:r>
        <w:rPr>
          <w:szCs w:val="21"/>
          <w:highlight w:val="none"/>
        </w:rPr>
        <w:fldChar w:fldCharType="separate"/>
      </w:r>
      <w:r>
        <w:rPr>
          <w:szCs w:val="21"/>
          <w:highlight w:val="none"/>
        </w:rPr>
        <w:t>5</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_Toc8184 </w:instrText>
      </w:r>
      <w:r>
        <w:rPr>
          <w:szCs w:val="21"/>
          <w:highlight w:val="none"/>
        </w:rPr>
        <w:fldChar w:fldCharType="separate"/>
      </w:r>
      <w:r>
        <w:rPr>
          <w:rFonts w:hint="eastAsia" w:cs="宋体"/>
          <w:highlight w:val="none"/>
        </w:rPr>
        <w:t>第四条</w:t>
      </w:r>
      <w:r>
        <w:rPr>
          <w:rFonts w:cs="宋体"/>
          <w:highlight w:val="none"/>
        </w:rPr>
        <w:t xml:space="preserve"> </w:t>
      </w:r>
      <w:r>
        <w:rPr>
          <w:rFonts w:hint="eastAsia"/>
          <w:highlight w:val="none"/>
        </w:rPr>
        <w:t xml:space="preserve"> </w:t>
      </w:r>
      <w:r>
        <w:rPr>
          <w:rFonts w:hint="eastAsia" w:cs="宋体"/>
          <w:highlight w:val="none"/>
        </w:rPr>
        <w:t>托管专户的开立及管理</w:t>
      </w:r>
      <w:r>
        <w:rPr>
          <w:szCs w:val="21"/>
          <w:highlight w:val="none"/>
        </w:rPr>
        <w:tab/>
      </w:r>
      <w:r>
        <w:rPr>
          <w:szCs w:val="21"/>
          <w:highlight w:val="none"/>
        </w:rPr>
        <w:fldChar w:fldCharType="begin"/>
      </w:r>
      <w:r>
        <w:rPr>
          <w:szCs w:val="21"/>
          <w:highlight w:val="none"/>
        </w:rPr>
        <w:instrText xml:space="preserve"> PAGEREF _Toc8184 </w:instrText>
      </w:r>
      <w:r>
        <w:rPr>
          <w:szCs w:val="21"/>
          <w:highlight w:val="none"/>
        </w:rPr>
        <w:fldChar w:fldCharType="separate"/>
      </w:r>
      <w:r>
        <w:rPr>
          <w:szCs w:val="21"/>
          <w:highlight w:val="none"/>
        </w:rPr>
        <w:t>6</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_Toc15234 </w:instrText>
      </w:r>
      <w:r>
        <w:rPr>
          <w:szCs w:val="21"/>
          <w:highlight w:val="none"/>
        </w:rPr>
        <w:fldChar w:fldCharType="separate"/>
      </w:r>
      <w:r>
        <w:rPr>
          <w:rFonts w:hint="eastAsia" w:cs="宋体"/>
          <w:highlight w:val="none"/>
        </w:rPr>
        <w:t>第五条</w:t>
      </w:r>
      <w:r>
        <w:rPr>
          <w:rFonts w:cs="宋体"/>
          <w:highlight w:val="none"/>
        </w:rPr>
        <w:t xml:space="preserve"> </w:t>
      </w:r>
      <w:r>
        <w:rPr>
          <w:rFonts w:hint="eastAsia"/>
          <w:highlight w:val="none"/>
        </w:rPr>
        <w:t xml:space="preserve"> </w:t>
      </w:r>
      <w:r>
        <w:rPr>
          <w:rFonts w:hint="eastAsia" w:cs="宋体"/>
          <w:highlight w:val="none"/>
        </w:rPr>
        <w:t>划款指令的发送、确认与执行</w:t>
      </w:r>
      <w:r>
        <w:rPr>
          <w:szCs w:val="21"/>
          <w:highlight w:val="none"/>
        </w:rPr>
        <w:tab/>
      </w:r>
      <w:r>
        <w:rPr>
          <w:szCs w:val="21"/>
          <w:highlight w:val="none"/>
        </w:rPr>
        <w:fldChar w:fldCharType="begin"/>
      </w:r>
      <w:r>
        <w:rPr>
          <w:szCs w:val="21"/>
          <w:highlight w:val="none"/>
        </w:rPr>
        <w:instrText xml:space="preserve"> PAGEREF _Toc15234 </w:instrText>
      </w:r>
      <w:r>
        <w:rPr>
          <w:szCs w:val="21"/>
          <w:highlight w:val="none"/>
        </w:rPr>
        <w:fldChar w:fldCharType="separate"/>
      </w:r>
      <w:r>
        <w:rPr>
          <w:szCs w:val="21"/>
          <w:highlight w:val="none"/>
        </w:rPr>
        <w:t>7</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_Toc30887 </w:instrText>
      </w:r>
      <w:r>
        <w:rPr>
          <w:szCs w:val="21"/>
          <w:highlight w:val="none"/>
        </w:rPr>
        <w:fldChar w:fldCharType="separate"/>
      </w:r>
      <w:r>
        <w:rPr>
          <w:rFonts w:hint="eastAsia" w:cs="宋体"/>
          <w:highlight w:val="none"/>
        </w:rPr>
        <w:t>第六条</w:t>
      </w:r>
      <w:r>
        <w:rPr>
          <w:rFonts w:cs="宋体"/>
          <w:highlight w:val="none"/>
        </w:rPr>
        <w:t xml:space="preserve">  </w:t>
      </w:r>
      <w:r>
        <w:rPr>
          <w:rFonts w:hint="eastAsia" w:cs="宋体"/>
          <w:highlight w:val="none"/>
        </w:rPr>
        <w:t>交易及清算交收安排</w:t>
      </w:r>
      <w:r>
        <w:rPr>
          <w:szCs w:val="21"/>
          <w:highlight w:val="none"/>
        </w:rPr>
        <w:tab/>
      </w:r>
      <w:r>
        <w:rPr>
          <w:szCs w:val="21"/>
          <w:highlight w:val="none"/>
        </w:rPr>
        <w:fldChar w:fldCharType="begin"/>
      </w:r>
      <w:r>
        <w:rPr>
          <w:szCs w:val="21"/>
          <w:highlight w:val="none"/>
        </w:rPr>
        <w:instrText xml:space="preserve"> PAGEREF _Toc30887 </w:instrText>
      </w:r>
      <w:r>
        <w:rPr>
          <w:szCs w:val="21"/>
          <w:highlight w:val="none"/>
        </w:rPr>
        <w:fldChar w:fldCharType="separate"/>
      </w:r>
      <w:r>
        <w:rPr>
          <w:szCs w:val="21"/>
          <w:highlight w:val="none"/>
        </w:rPr>
        <w:t>7</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_Toc666 </w:instrText>
      </w:r>
      <w:r>
        <w:rPr>
          <w:szCs w:val="21"/>
          <w:highlight w:val="none"/>
        </w:rPr>
        <w:fldChar w:fldCharType="separate"/>
      </w:r>
      <w:r>
        <w:rPr>
          <w:rFonts w:hint="eastAsia" w:cs="宋体"/>
          <w:highlight w:val="none"/>
        </w:rPr>
        <w:t>第七条</w:t>
      </w:r>
      <w:r>
        <w:rPr>
          <w:rFonts w:cs="宋体"/>
          <w:highlight w:val="none"/>
        </w:rPr>
        <w:t xml:space="preserve">  </w:t>
      </w:r>
      <w:r>
        <w:rPr>
          <w:rFonts w:hint="eastAsia" w:cs="宋体"/>
          <w:highlight w:val="none"/>
        </w:rPr>
        <w:t>理财产品运作流程</w:t>
      </w:r>
      <w:r>
        <w:rPr>
          <w:szCs w:val="21"/>
          <w:highlight w:val="none"/>
        </w:rPr>
        <w:tab/>
      </w:r>
      <w:r>
        <w:rPr>
          <w:szCs w:val="21"/>
          <w:highlight w:val="none"/>
        </w:rPr>
        <w:fldChar w:fldCharType="begin"/>
      </w:r>
      <w:r>
        <w:rPr>
          <w:szCs w:val="21"/>
          <w:highlight w:val="none"/>
        </w:rPr>
        <w:instrText xml:space="preserve"> PAGEREF _Toc666 </w:instrText>
      </w:r>
      <w:r>
        <w:rPr>
          <w:szCs w:val="21"/>
          <w:highlight w:val="none"/>
        </w:rPr>
        <w:fldChar w:fldCharType="separate"/>
      </w:r>
      <w:r>
        <w:rPr>
          <w:szCs w:val="21"/>
          <w:highlight w:val="none"/>
        </w:rPr>
        <w:t>10</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_Toc3720 </w:instrText>
      </w:r>
      <w:r>
        <w:rPr>
          <w:szCs w:val="21"/>
          <w:highlight w:val="none"/>
        </w:rPr>
        <w:fldChar w:fldCharType="separate"/>
      </w:r>
      <w:r>
        <w:rPr>
          <w:rFonts w:hint="eastAsia" w:cs="宋体"/>
          <w:szCs w:val="24"/>
          <w:highlight w:val="none"/>
        </w:rPr>
        <w:t>第八条</w:t>
      </w:r>
      <w:r>
        <w:rPr>
          <w:rFonts w:cs="宋体"/>
          <w:szCs w:val="24"/>
          <w:highlight w:val="none"/>
        </w:rPr>
        <w:t xml:space="preserve"> </w:t>
      </w:r>
      <w:r>
        <w:rPr>
          <w:rFonts w:hint="eastAsia" w:cs="宋体"/>
          <w:szCs w:val="24"/>
          <w:highlight w:val="none"/>
        </w:rPr>
        <w:t>资产净值计算和会计核算</w:t>
      </w:r>
      <w:r>
        <w:rPr>
          <w:szCs w:val="21"/>
          <w:highlight w:val="none"/>
        </w:rPr>
        <w:tab/>
      </w:r>
      <w:r>
        <w:rPr>
          <w:szCs w:val="21"/>
          <w:highlight w:val="none"/>
        </w:rPr>
        <w:fldChar w:fldCharType="begin"/>
      </w:r>
      <w:r>
        <w:rPr>
          <w:szCs w:val="21"/>
          <w:highlight w:val="none"/>
        </w:rPr>
        <w:instrText xml:space="preserve"> PAGEREF _Toc3720 </w:instrText>
      </w:r>
      <w:r>
        <w:rPr>
          <w:szCs w:val="21"/>
          <w:highlight w:val="none"/>
        </w:rPr>
        <w:fldChar w:fldCharType="separate"/>
      </w:r>
      <w:r>
        <w:rPr>
          <w:szCs w:val="21"/>
          <w:highlight w:val="none"/>
        </w:rPr>
        <w:t>11</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_Toc25496 </w:instrText>
      </w:r>
      <w:r>
        <w:rPr>
          <w:szCs w:val="21"/>
          <w:highlight w:val="none"/>
        </w:rPr>
        <w:fldChar w:fldCharType="separate"/>
      </w:r>
      <w:r>
        <w:rPr>
          <w:rFonts w:hint="eastAsia" w:cs="宋体"/>
          <w:szCs w:val="24"/>
          <w:highlight w:val="none"/>
        </w:rPr>
        <w:t>第九条</w:t>
      </w:r>
      <w:r>
        <w:rPr>
          <w:rFonts w:cs="宋体"/>
          <w:szCs w:val="24"/>
          <w:highlight w:val="none"/>
        </w:rPr>
        <w:t xml:space="preserve"> </w:t>
      </w:r>
      <w:r>
        <w:rPr>
          <w:rFonts w:hint="eastAsia" w:cs="宋体"/>
          <w:szCs w:val="24"/>
          <w:highlight w:val="none"/>
        </w:rPr>
        <w:t xml:space="preserve"> 由理财产品承担的各项费用的核算及支付方法</w:t>
      </w:r>
      <w:r>
        <w:rPr>
          <w:szCs w:val="21"/>
          <w:highlight w:val="none"/>
        </w:rPr>
        <w:tab/>
      </w:r>
      <w:r>
        <w:rPr>
          <w:szCs w:val="21"/>
          <w:highlight w:val="none"/>
        </w:rPr>
        <w:fldChar w:fldCharType="begin"/>
      </w:r>
      <w:r>
        <w:rPr>
          <w:szCs w:val="21"/>
          <w:highlight w:val="none"/>
        </w:rPr>
        <w:instrText xml:space="preserve"> PAGEREF _Toc25496 </w:instrText>
      </w:r>
      <w:r>
        <w:rPr>
          <w:szCs w:val="21"/>
          <w:highlight w:val="none"/>
        </w:rPr>
        <w:fldChar w:fldCharType="separate"/>
      </w:r>
      <w:r>
        <w:rPr>
          <w:szCs w:val="21"/>
          <w:highlight w:val="none"/>
        </w:rPr>
        <w:t>13</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_Toc22352 </w:instrText>
      </w:r>
      <w:r>
        <w:rPr>
          <w:szCs w:val="21"/>
          <w:highlight w:val="none"/>
        </w:rPr>
        <w:fldChar w:fldCharType="separate"/>
      </w:r>
      <w:r>
        <w:rPr>
          <w:rFonts w:hint="eastAsia" w:cs="宋体"/>
          <w:szCs w:val="24"/>
          <w:highlight w:val="none"/>
        </w:rPr>
        <w:t>第十条</w:t>
      </w:r>
      <w:r>
        <w:rPr>
          <w:rFonts w:cs="宋体"/>
          <w:szCs w:val="24"/>
          <w:highlight w:val="none"/>
        </w:rPr>
        <w:t xml:space="preserve">  </w:t>
      </w:r>
      <w:r>
        <w:rPr>
          <w:rFonts w:hint="eastAsia" w:cs="宋体"/>
          <w:szCs w:val="24"/>
          <w:highlight w:val="none"/>
        </w:rPr>
        <w:t>投资监督与核查</w:t>
      </w:r>
      <w:r>
        <w:rPr>
          <w:szCs w:val="21"/>
          <w:highlight w:val="none"/>
        </w:rPr>
        <w:tab/>
      </w:r>
      <w:r>
        <w:rPr>
          <w:szCs w:val="21"/>
          <w:highlight w:val="none"/>
        </w:rPr>
        <w:fldChar w:fldCharType="begin"/>
      </w:r>
      <w:r>
        <w:rPr>
          <w:szCs w:val="21"/>
          <w:highlight w:val="none"/>
        </w:rPr>
        <w:instrText xml:space="preserve"> PAGEREF _Toc22352 </w:instrText>
      </w:r>
      <w:r>
        <w:rPr>
          <w:szCs w:val="21"/>
          <w:highlight w:val="none"/>
        </w:rPr>
        <w:fldChar w:fldCharType="separate"/>
      </w:r>
      <w:r>
        <w:rPr>
          <w:szCs w:val="21"/>
          <w:highlight w:val="none"/>
        </w:rPr>
        <w:t>14</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_Toc19236 </w:instrText>
      </w:r>
      <w:r>
        <w:rPr>
          <w:szCs w:val="21"/>
          <w:highlight w:val="none"/>
        </w:rPr>
        <w:fldChar w:fldCharType="separate"/>
      </w:r>
      <w:r>
        <w:rPr>
          <w:rFonts w:hint="eastAsia" w:cs="宋体"/>
          <w:szCs w:val="24"/>
          <w:highlight w:val="none"/>
        </w:rPr>
        <w:t>第十一条</w:t>
      </w:r>
      <w:r>
        <w:rPr>
          <w:rFonts w:cs="宋体"/>
          <w:szCs w:val="24"/>
          <w:highlight w:val="none"/>
        </w:rPr>
        <w:t xml:space="preserve">  </w:t>
      </w:r>
      <w:r>
        <w:rPr>
          <w:rFonts w:hint="eastAsia" w:cs="宋体"/>
          <w:szCs w:val="24"/>
          <w:highlight w:val="none"/>
        </w:rPr>
        <w:t>理财产品文件档案的保管</w:t>
      </w:r>
      <w:r>
        <w:rPr>
          <w:szCs w:val="21"/>
          <w:highlight w:val="none"/>
        </w:rPr>
        <w:tab/>
      </w:r>
      <w:r>
        <w:rPr>
          <w:szCs w:val="21"/>
          <w:highlight w:val="none"/>
        </w:rPr>
        <w:fldChar w:fldCharType="begin"/>
      </w:r>
      <w:r>
        <w:rPr>
          <w:szCs w:val="21"/>
          <w:highlight w:val="none"/>
        </w:rPr>
        <w:instrText xml:space="preserve"> PAGEREF _Toc19236 </w:instrText>
      </w:r>
      <w:r>
        <w:rPr>
          <w:szCs w:val="21"/>
          <w:highlight w:val="none"/>
        </w:rPr>
        <w:fldChar w:fldCharType="separate"/>
      </w:r>
      <w:r>
        <w:rPr>
          <w:szCs w:val="21"/>
          <w:highlight w:val="none"/>
        </w:rPr>
        <w:t>14</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_Toc19358 </w:instrText>
      </w:r>
      <w:r>
        <w:rPr>
          <w:szCs w:val="21"/>
          <w:highlight w:val="none"/>
        </w:rPr>
        <w:fldChar w:fldCharType="separate"/>
      </w:r>
      <w:r>
        <w:rPr>
          <w:rFonts w:hint="eastAsia" w:cs="宋体"/>
          <w:szCs w:val="24"/>
          <w:highlight w:val="none"/>
        </w:rPr>
        <w:t>第十二条</w:t>
      </w:r>
      <w:r>
        <w:rPr>
          <w:rFonts w:cs="宋体"/>
          <w:szCs w:val="24"/>
          <w:highlight w:val="none"/>
        </w:rPr>
        <w:t xml:space="preserve">  </w:t>
      </w:r>
      <w:r>
        <w:rPr>
          <w:rFonts w:hint="eastAsia" w:cs="宋体"/>
          <w:szCs w:val="24"/>
          <w:highlight w:val="none"/>
        </w:rPr>
        <w:t>信息披露</w:t>
      </w:r>
      <w:r>
        <w:rPr>
          <w:szCs w:val="21"/>
          <w:highlight w:val="none"/>
        </w:rPr>
        <w:tab/>
      </w:r>
      <w:r>
        <w:rPr>
          <w:szCs w:val="21"/>
          <w:highlight w:val="none"/>
        </w:rPr>
        <w:fldChar w:fldCharType="begin"/>
      </w:r>
      <w:r>
        <w:rPr>
          <w:szCs w:val="21"/>
          <w:highlight w:val="none"/>
        </w:rPr>
        <w:instrText xml:space="preserve"> PAGEREF _Toc19358 </w:instrText>
      </w:r>
      <w:r>
        <w:rPr>
          <w:szCs w:val="21"/>
          <w:highlight w:val="none"/>
        </w:rPr>
        <w:fldChar w:fldCharType="separate"/>
      </w:r>
      <w:r>
        <w:rPr>
          <w:szCs w:val="21"/>
          <w:highlight w:val="none"/>
        </w:rPr>
        <w:t>15</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_Toc7034 </w:instrText>
      </w:r>
      <w:r>
        <w:rPr>
          <w:szCs w:val="21"/>
          <w:highlight w:val="none"/>
        </w:rPr>
        <w:fldChar w:fldCharType="separate"/>
      </w:r>
      <w:r>
        <w:rPr>
          <w:rFonts w:hint="eastAsia" w:cs="宋体"/>
          <w:szCs w:val="24"/>
          <w:highlight w:val="none"/>
        </w:rPr>
        <w:t>第十三条</w:t>
      </w:r>
      <w:r>
        <w:rPr>
          <w:rFonts w:cs="宋体"/>
          <w:szCs w:val="24"/>
          <w:highlight w:val="none"/>
        </w:rPr>
        <w:t xml:space="preserve">  </w:t>
      </w:r>
      <w:r>
        <w:rPr>
          <w:rFonts w:hint="eastAsia" w:cs="宋体"/>
          <w:szCs w:val="24"/>
          <w:highlight w:val="none"/>
        </w:rPr>
        <w:t>保密条款</w:t>
      </w:r>
      <w:r>
        <w:rPr>
          <w:szCs w:val="21"/>
          <w:highlight w:val="none"/>
        </w:rPr>
        <w:tab/>
      </w:r>
      <w:r>
        <w:rPr>
          <w:szCs w:val="21"/>
          <w:highlight w:val="none"/>
        </w:rPr>
        <w:fldChar w:fldCharType="begin"/>
      </w:r>
      <w:r>
        <w:rPr>
          <w:szCs w:val="21"/>
          <w:highlight w:val="none"/>
        </w:rPr>
        <w:instrText xml:space="preserve"> PAGEREF _Toc7034 </w:instrText>
      </w:r>
      <w:r>
        <w:rPr>
          <w:szCs w:val="21"/>
          <w:highlight w:val="none"/>
        </w:rPr>
        <w:fldChar w:fldCharType="separate"/>
      </w:r>
      <w:r>
        <w:rPr>
          <w:szCs w:val="21"/>
          <w:highlight w:val="none"/>
        </w:rPr>
        <w:t>15</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_Toc18553 </w:instrText>
      </w:r>
      <w:r>
        <w:rPr>
          <w:szCs w:val="21"/>
          <w:highlight w:val="none"/>
        </w:rPr>
        <w:fldChar w:fldCharType="separate"/>
      </w:r>
      <w:r>
        <w:rPr>
          <w:rFonts w:hint="eastAsia" w:cs="宋体"/>
          <w:szCs w:val="24"/>
          <w:highlight w:val="none"/>
        </w:rPr>
        <w:t>第十四条</w:t>
      </w:r>
      <w:r>
        <w:rPr>
          <w:rFonts w:cs="宋体"/>
          <w:szCs w:val="24"/>
          <w:highlight w:val="none"/>
        </w:rPr>
        <w:t xml:space="preserve">  </w:t>
      </w:r>
      <w:r>
        <w:rPr>
          <w:rFonts w:hint="eastAsia" w:cs="宋体"/>
          <w:szCs w:val="24"/>
          <w:highlight w:val="none"/>
        </w:rPr>
        <w:t>违约责任</w:t>
      </w:r>
      <w:r>
        <w:rPr>
          <w:szCs w:val="21"/>
          <w:highlight w:val="none"/>
        </w:rPr>
        <w:tab/>
      </w:r>
      <w:r>
        <w:rPr>
          <w:szCs w:val="21"/>
          <w:highlight w:val="none"/>
        </w:rPr>
        <w:fldChar w:fldCharType="begin"/>
      </w:r>
      <w:r>
        <w:rPr>
          <w:szCs w:val="21"/>
          <w:highlight w:val="none"/>
        </w:rPr>
        <w:instrText xml:space="preserve"> PAGEREF _Toc18553 </w:instrText>
      </w:r>
      <w:r>
        <w:rPr>
          <w:szCs w:val="21"/>
          <w:highlight w:val="none"/>
        </w:rPr>
        <w:fldChar w:fldCharType="separate"/>
      </w:r>
      <w:r>
        <w:rPr>
          <w:szCs w:val="21"/>
          <w:highlight w:val="none"/>
        </w:rPr>
        <w:t>16</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_Toc31345 </w:instrText>
      </w:r>
      <w:r>
        <w:rPr>
          <w:szCs w:val="21"/>
          <w:highlight w:val="none"/>
        </w:rPr>
        <w:fldChar w:fldCharType="separate"/>
      </w:r>
      <w:r>
        <w:rPr>
          <w:rFonts w:hint="eastAsia" w:cs="宋体"/>
          <w:szCs w:val="24"/>
          <w:highlight w:val="none"/>
        </w:rPr>
        <w:t xml:space="preserve">第十五条 </w:t>
      </w:r>
      <w:r>
        <w:rPr>
          <w:rFonts w:cs="宋体"/>
          <w:szCs w:val="24"/>
          <w:highlight w:val="none"/>
        </w:rPr>
        <w:t xml:space="preserve"> </w:t>
      </w:r>
      <w:r>
        <w:rPr>
          <w:rFonts w:hint="eastAsia" w:cs="宋体"/>
          <w:szCs w:val="24"/>
          <w:highlight w:val="none"/>
        </w:rPr>
        <w:t>协议生效和终止</w:t>
      </w:r>
      <w:r>
        <w:rPr>
          <w:szCs w:val="21"/>
          <w:highlight w:val="none"/>
        </w:rPr>
        <w:tab/>
      </w:r>
      <w:r>
        <w:rPr>
          <w:szCs w:val="21"/>
          <w:highlight w:val="none"/>
        </w:rPr>
        <w:fldChar w:fldCharType="begin"/>
      </w:r>
      <w:r>
        <w:rPr>
          <w:szCs w:val="21"/>
          <w:highlight w:val="none"/>
        </w:rPr>
        <w:instrText xml:space="preserve"> PAGEREF _Toc31345 </w:instrText>
      </w:r>
      <w:r>
        <w:rPr>
          <w:szCs w:val="21"/>
          <w:highlight w:val="none"/>
        </w:rPr>
        <w:fldChar w:fldCharType="separate"/>
      </w:r>
      <w:r>
        <w:rPr>
          <w:szCs w:val="21"/>
          <w:highlight w:val="none"/>
        </w:rPr>
        <w:t>16</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_Toc19869 </w:instrText>
      </w:r>
      <w:r>
        <w:rPr>
          <w:szCs w:val="21"/>
          <w:highlight w:val="none"/>
        </w:rPr>
        <w:fldChar w:fldCharType="separate"/>
      </w:r>
      <w:r>
        <w:rPr>
          <w:rFonts w:hint="eastAsia" w:cs="宋体"/>
          <w:szCs w:val="24"/>
          <w:highlight w:val="none"/>
        </w:rPr>
        <w:t>第十六条</w:t>
      </w:r>
      <w:r>
        <w:rPr>
          <w:rFonts w:cs="宋体"/>
          <w:szCs w:val="24"/>
          <w:highlight w:val="none"/>
        </w:rPr>
        <w:t xml:space="preserve">  </w:t>
      </w:r>
      <w:r>
        <w:rPr>
          <w:rFonts w:hint="eastAsia" w:cs="宋体"/>
          <w:szCs w:val="24"/>
          <w:highlight w:val="none"/>
        </w:rPr>
        <w:t>争议解决、不可抗力及其他</w:t>
      </w:r>
      <w:r>
        <w:rPr>
          <w:szCs w:val="21"/>
          <w:highlight w:val="none"/>
        </w:rPr>
        <w:tab/>
      </w:r>
      <w:r>
        <w:rPr>
          <w:szCs w:val="21"/>
          <w:highlight w:val="none"/>
        </w:rPr>
        <w:fldChar w:fldCharType="begin"/>
      </w:r>
      <w:r>
        <w:rPr>
          <w:szCs w:val="21"/>
          <w:highlight w:val="none"/>
        </w:rPr>
        <w:instrText xml:space="preserve"> PAGEREF _Toc19869 </w:instrText>
      </w:r>
      <w:r>
        <w:rPr>
          <w:szCs w:val="21"/>
          <w:highlight w:val="none"/>
        </w:rPr>
        <w:fldChar w:fldCharType="separate"/>
      </w:r>
      <w:r>
        <w:rPr>
          <w:szCs w:val="21"/>
          <w:highlight w:val="none"/>
        </w:rPr>
        <w:t>16</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_Toc7439 </w:instrText>
      </w:r>
      <w:r>
        <w:rPr>
          <w:szCs w:val="21"/>
          <w:highlight w:val="none"/>
        </w:rPr>
        <w:fldChar w:fldCharType="separate"/>
      </w:r>
      <w:r>
        <w:rPr>
          <w:rFonts w:hint="eastAsia"/>
          <w:szCs w:val="21"/>
          <w:highlight w:val="none"/>
        </w:rPr>
        <w:t>附件一</w:t>
      </w:r>
      <w:r>
        <w:rPr>
          <w:rFonts w:hint="eastAsia"/>
          <w:szCs w:val="24"/>
          <w:highlight w:val="none"/>
        </w:rPr>
        <w:t>：</w:t>
      </w:r>
      <w:r>
        <w:rPr>
          <w:rFonts w:hint="eastAsia"/>
          <w:szCs w:val="21"/>
          <w:highlight w:val="none"/>
        </w:rPr>
        <w:t>《托管专户开立申请单》（格式）</w:t>
      </w:r>
      <w:r>
        <w:rPr>
          <w:szCs w:val="21"/>
          <w:highlight w:val="none"/>
        </w:rPr>
        <w:tab/>
      </w:r>
      <w:r>
        <w:rPr>
          <w:szCs w:val="21"/>
          <w:highlight w:val="none"/>
        </w:rPr>
        <w:fldChar w:fldCharType="begin"/>
      </w:r>
      <w:r>
        <w:rPr>
          <w:szCs w:val="21"/>
          <w:highlight w:val="none"/>
        </w:rPr>
        <w:instrText xml:space="preserve"> PAGEREF _Toc7439 </w:instrText>
      </w:r>
      <w:r>
        <w:rPr>
          <w:szCs w:val="21"/>
          <w:highlight w:val="none"/>
        </w:rPr>
        <w:fldChar w:fldCharType="separate"/>
      </w:r>
      <w:r>
        <w:rPr>
          <w:szCs w:val="21"/>
          <w:highlight w:val="none"/>
        </w:rPr>
        <w:t>19</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_Toc1864 </w:instrText>
      </w:r>
      <w:r>
        <w:rPr>
          <w:szCs w:val="21"/>
          <w:highlight w:val="none"/>
        </w:rPr>
        <w:fldChar w:fldCharType="separate"/>
      </w:r>
      <w:r>
        <w:rPr>
          <w:rFonts w:hint="eastAsia"/>
          <w:szCs w:val="24"/>
          <w:highlight w:val="none"/>
        </w:rPr>
        <w:t>附件二：《划款指令》（格式）</w:t>
      </w:r>
      <w:r>
        <w:rPr>
          <w:szCs w:val="21"/>
          <w:highlight w:val="none"/>
        </w:rPr>
        <w:tab/>
      </w:r>
      <w:r>
        <w:rPr>
          <w:szCs w:val="21"/>
          <w:highlight w:val="none"/>
        </w:rPr>
        <w:fldChar w:fldCharType="begin"/>
      </w:r>
      <w:r>
        <w:rPr>
          <w:szCs w:val="21"/>
          <w:highlight w:val="none"/>
        </w:rPr>
        <w:instrText xml:space="preserve"> PAGEREF _Toc1864 </w:instrText>
      </w:r>
      <w:r>
        <w:rPr>
          <w:szCs w:val="21"/>
          <w:highlight w:val="none"/>
        </w:rPr>
        <w:fldChar w:fldCharType="separate"/>
      </w:r>
      <w:r>
        <w:rPr>
          <w:szCs w:val="21"/>
          <w:highlight w:val="none"/>
        </w:rPr>
        <w:t>20</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_Toc25764 </w:instrText>
      </w:r>
      <w:r>
        <w:rPr>
          <w:szCs w:val="21"/>
          <w:highlight w:val="none"/>
        </w:rPr>
        <w:fldChar w:fldCharType="separate"/>
      </w:r>
      <w:r>
        <w:rPr>
          <w:rFonts w:hint="eastAsia"/>
          <w:szCs w:val="24"/>
          <w:highlight w:val="none"/>
        </w:rPr>
        <w:t>附件三：《授权通知书》（格式）</w:t>
      </w:r>
      <w:r>
        <w:rPr>
          <w:szCs w:val="21"/>
          <w:highlight w:val="none"/>
        </w:rPr>
        <w:tab/>
      </w:r>
      <w:r>
        <w:rPr>
          <w:szCs w:val="21"/>
          <w:highlight w:val="none"/>
        </w:rPr>
        <w:fldChar w:fldCharType="begin"/>
      </w:r>
      <w:r>
        <w:rPr>
          <w:szCs w:val="21"/>
          <w:highlight w:val="none"/>
        </w:rPr>
        <w:instrText xml:space="preserve"> PAGEREF _Toc25764 </w:instrText>
      </w:r>
      <w:r>
        <w:rPr>
          <w:szCs w:val="21"/>
          <w:highlight w:val="none"/>
        </w:rPr>
        <w:fldChar w:fldCharType="separate"/>
      </w:r>
      <w:r>
        <w:rPr>
          <w:szCs w:val="21"/>
          <w:highlight w:val="none"/>
        </w:rPr>
        <w:t>21</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_Toc18283 </w:instrText>
      </w:r>
      <w:r>
        <w:rPr>
          <w:szCs w:val="21"/>
          <w:highlight w:val="none"/>
        </w:rPr>
        <w:fldChar w:fldCharType="separate"/>
      </w:r>
      <w:r>
        <w:rPr>
          <w:rFonts w:hint="eastAsia"/>
          <w:szCs w:val="24"/>
          <w:highlight w:val="none"/>
        </w:rPr>
        <w:t>附件四：《预留印鉴》</w:t>
      </w:r>
      <w:r>
        <w:rPr>
          <w:szCs w:val="21"/>
          <w:highlight w:val="none"/>
        </w:rPr>
        <w:tab/>
      </w:r>
      <w:r>
        <w:rPr>
          <w:szCs w:val="21"/>
          <w:highlight w:val="none"/>
        </w:rPr>
        <w:fldChar w:fldCharType="begin"/>
      </w:r>
      <w:r>
        <w:rPr>
          <w:szCs w:val="21"/>
          <w:highlight w:val="none"/>
        </w:rPr>
        <w:instrText xml:space="preserve"> PAGEREF _Toc18283 </w:instrText>
      </w:r>
      <w:r>
        <w:rPr>
          <w:szCs w:val="21"/>
          <w:highlight w:val="none"/>
        </w:rPr>
        <w:fldChar w:fldCharType="separate"/>
      </w:r>
      <w:r>
        <w:rPr>
          <w:szCs w:val="21"/>
          <w:highlight w:val="none"/>
        </w:rPr>
        <w:t>22</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_Toc437 </w:instrText>
      </w:r>
      <w:r>
        <w:rPr>
          <w:szCs w:val="21"/>
          <w:highlight w:val="none"/>
        </w:rPr>
        <w:fldChar w:fldCharType="separate"/>
      </w:r>
      <w:r>
        <w:rPr>
          <w:rFonts w:hint="eastAsia"/>
          <w:szCs w:val="21"/>
          <w:highlight w:val="none"/>
        </w:rPr>
        <w:t>附件五：《投资运作监督事项表》</w:t>
      </w:r>
      <w:r>
        <w:rPr>
          <w:szCs w:val="21"/>
          <w:highlight w:val="none"/>
        </w:rPr>
        <w:tab/>
      </w:r>
      <w:r>
        <w:rPr>
          <w:szCs w:val="21"/>
          <w:highlight w:val="none"/>
        </w:rPr>
        <w:fldChar w:fldCharType="begin"/>
      </w:r>
      <w:r>
        <w:rPr>
          <w:szCs w:val="21"/>
          <w:highlight w:val="none"/>
        </w:rPr>
        <w:instrText xml:space="preserve"> PAGEREF _Toc437 </w:instrText>
      </w:r>
      <w:r>
        <w:rPr>
          <w:szCs w:val="21"/>
          <w:highlight w:val="none"/>
        </w:rPr>
        <w:fldChar w:fldCharType="separate"/>
      </w:r>
      <w:r>
        <w:rPr>
          <w:szCs w:val="21"/>
          <w:highlight w:val="none"/>
        </w:rPr>
        <w:t>23</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_Toc29035 </w:instrText>
      </w:r>
      <w:r>
        <w:rPr>
          <w:szCs w:val="21"/>
          <w:highlight w:val="none"/>
        </w:rPr>
        <w:fldChar w:fldCharType="separate"/>
      </w:r>
      <w:r>
        <w:rPr>
          <w:rFonts w:hint="eastAsia"/>
          <w:szCs w:val="21"/>
          <w:highlight w:val="none"/>
        </w:rPr>
        <w:t>附件六：《托管报告》（格式）</w:t>
      </w:r>
      <w:r>
        <w:rPr>
          <w:szCs w:val="21"/>
          <w:highlight w:val="none"/>
        </w:rPr>
        <w:tab/>
      </w:r>
      <w:r>
        <w:rPr>
          <w:szCs w:val="21"/>
          <w:highlight w:val="none"/>
        </w:rPr>
        <w:fldChar w:fldCharType="begin"/>
      </w:r>
      <w:r>
        <w:rPr>
          <w:szCs w:val="21"/>
          <w:highlight w:val="none"/>
        </w:rPr>
        <w:instrText xml:space="preserve"> PAGEREF _Toc29035 </w:instrText>
      </w:r>
      <w:r>
        <w:rPr>
          <w:szCs w:val="21"/>
          <w:highlight w:val="none"/>
        </w:rPr>
        <w:fldChar w:fldCharType="separate"/>
      </w:r>
      <w:r>
        <w:rPr>
          <w:szCs w:val="21"/>
          <w:highlight w:val="none"/>
        </w:rPr>
        <w:t>24</w:t>
      </w:r>
      <w:r>
        <w:rPr>
          <w:szCs w:val="21"/>
          <w:highlight w:val="none"/>
        </w:rPr>
        <w:fldChar w:fldCharType="end"/>
      </w:r>
      <w:r>
        <w:rPr>
          <w:szCs w:val="21"/>
          <w:highlight w:val="none"/>
        </w:rPr>
        <w:fldChar w:fldCharType="end"/>
      </w:r>
    </w:p>
    <w:p>
      <w:pPr>
        <w:pStyle w:val="9"/>
        <w:tabs>
          <w:tab w:val="right" w:leader="dot" w:pos="8080"/>
        </w:tabs>
        <w:ind w:left="-142" w:leftChars="-68" w:right="848" w:rightChars="404" w:firstLine="0" w:firstLineChars="0"/>
        <w:rPr>
          <w:szCs w:val="21"/>
          <w:highlight w:val="none"/>
        </w:rPr>
      </w:pPr>
      <w:r>
        <w:rPr>
          <w:szCs w:val="21"/>
          <w:highlight w:val="none"/>
        </w:rPr>
        <w:fldChar w:fldCharType="begin"/>
      </w:r>
      <w:r>
        <w:rPr>
          <w:szCs w:val="21"/>
          <w:highlight w:val="none"/>
        </w:rPr>
        <w:instrText xml:space="preserve"> HYPERLINK \l _Toc13119 </w:instrText>
      </w:r>
      <w:r>
        <w:rPr>
          <w:szCs w:val="21"/>
          <w:highlight w:val="none"/>
        </w:rPr>
        <w:fldChar w:fldCharType="separate"/>
      </w:r>
      <w:r>
        <w:rPr>
          <w:rFonts w:hint="eastAsia"/>
          <w:szCs w:val="21"/>
          <w:highlight w:val="none"/>
        </w:rPr>
        <w:t>附件七</w:t>
      </w:r>
      <w:r>
        <w:rPr>
          <w:rFonts w:hint="eastAsia"/>
          <w:szCs w:val="24"/>
          <w:highlight w:val="none"/>
        </w:rPr>
        <w:t>：业务联系单</w:t>
      </w:r>
      <w:r>
        <w:rPr>
          <w:szCs w:val="21"/>
          <w:highlight w:val="none"/>
        </w:rPr>
        <w:tab/>
      </w:r>
      <w:r>
        <w:rPr>
          <w:szCs w:val="21"/>
          <w:highlight w:val="none"/>
        </w:rPr>
        <w:fldChar w:fldCharType="begin"/>
      </w:r>
      <w:r>
        <w:rPr>
          <w:szCs w:val="21"/>
          <w:highlight w:val="none"/>
        </w:rPr>
        <w:instrText xml:space="preserve"> PAGEREF _Toc13119 </w:instrText>
      </w:r>
      <w:r>
        <w:rPr>
          <w:szCs w:val="21"/>
          <w:highlight w:val="none"/>
        </w:rPr>
        <w:fldChar w:fldCharType="separate"/>
      </w:r>
      <w:r>
        <w:rPr>
          <w:szCs w:val="21"/>
          <w:highlight w:val="none"/>
        </w:rPr>
        <w:t>25</w:t>
      </w:r>
      <w:r>
        <w:rPr>
          <w:szCs w:val="21"/>
          <w:highlight w:val="none"/>
        </w:rPr>
        <w:fldChar w:fldCharType="end"/>
      </w:r>
      <w:r>
        <w:rPr>
          <w:szCs w:val="21"/>
          <w:highlight w:val="none"/>
        </w:rPr>
        <w:fldChar w:fldCharType="end"/>
      </w:r>
    </w:p>
    <w:p>
      <w:pPr>
        <w:pStyle w:val="9"/>
        <w:tabs>
          <w:tab w:val="right" w:leader="dot" w:pos="8080"/>
          <w:tab w:val="right" w:leader="dot" w:pos="10204"/>
        </w:tabs>
        <w:ind w:left="-142" w:leftChars="-68" w:right="848" w:rightChars="404" w:firstLine="0" w:firstLineChars="0"/>
        <w:rPr>
          <w:szCs w:val="21"/>
          <w:highlight w:val="none"/>
        </w:rPr>
      </w:pPr>
    </w:p>
    <w:p>
      <w:pPr>
        <w:tabs>
          <w:tab w:val="right" w:leader="dot" w:pos="8080"/>
        </w:tabs>
        <w:spacing w:line="360" w:lineRule="auto"/>
        <w:ind w:left="-424" w:leftChars="-202" w:right="848" w:rightChars="404"/>
        <w:jc w:val="center"/>
        <w:rPr>
          <w:rFonts w:cs="黑体"/>
          <w:b/>
          <w:bCs/>
          <w:sz w:val="32"/>
          <w:szCs w:val="32"/>
          <w:highlight w:val="none"/>
        </w:rPr>
      </w:pPr>
      <w:r>
        <w:rPr>
          <w:highlight w:val="none"/>
        </w:rPr>
        <w:fldChar w:fldCharType="end"/>
      </w:r>
    </w:p>
    <w:p>
      <w:pPr>
        <w:tabs>
          <w:tab w:val="right" w:leader="dot" w:pos="8080"/>
        </w:tabs>
        <w:spacing w:line="360" w:lineRule="auto"/>
        <w:ind w:right="848" w:rightChars="404"/>
        <w:jc w:val="center"/>
        <w:rPr>
          <w:rFonts w:cs="黑体"/>
          <w:b/>
          <w:bCs/>
          <w:sz w:val="32"/>
          <w:szCs w:val="32"/>
          <w:highlight w:val="none"/>
        </w:rPr>
        <w:sectPr>
          <w:pgSz w:w="11849" w:h="16781"/>
          <w:pgMar w:top="964" w:right="964" w:bottom="964" w:left="1985" w:header="850" w:footer="992" w:gutter="0"/>
          <w:pgNumType w:fmt="decimal"/>
          <w:cols w:space="720" w:num="1"/>
          <w:formProt w:val="1"/>
          <w:docGrid w:type="linesAndChars" w:linePitch="312" w:charSpace="0"/>
        </w:sectPr>
      </w:pPr>
    </w:p>
    <w:p>
      <w:pPr>
        <w:tabs>
          <w:tab w:val="right" w:leader="dot" w:pos="8080"/>
        </w:tabs>
        <w:spacing w:line="420" w:lineRule="exact"/>
        <w:ind w:left="-424" w:leftChars="-202" w:right="565" w:rightChars="269"/>
        <w:outlineLvl w:val="0"/>
        <w:rPr>
          <w:b/>
          <w:bCs/>
          <w:color w:val="000000"/>
          <w:kern w:val="0"/>
          <w:sz w:val="24"/>
          <w:szCs w:val="20"/>
          <w:highlight w:val="none"/>
        </w:rPr>
      </w:pPr>
      <w:bookmarkStart w:id="2" w:name="_Toc21733"/>
      <w:r>
        <w:rPr>
          <w:rFonts w:hint="eastAsia" w:cs="宋体"/>
          <w:b/>
          <w:bCs/>
          <w:color w:val="000000"/>
          <w:kern w:val="0"/>
          <w:sz w:val="24"/>
          <w:szCs w:val="20"/>
          <w:highlight w:val="none"/>
        </w:rPr>
        <w:t>鉴于：</w:t>
      </w:r>
      <w:bookmarkEnd w:id="2"/>
    </w:p>
    <w:p>
      <w:pPr>
        <w:numPr>
          <w:ilvl w:val="0"/>
          <w:numId w:val="1"/>
        </w:numPr>
        <w:tabs>
          <w:tab w:val="right" w:leader="dot" w:pos="284"/>
        </w:tabs>
        <w:spacing w:line="420" w:lineRule="exact"/>
        <w:ind w:left="-426" w:leftChars="-203" w:right="424" w:firstLine="568"/>
        <w:rPr>
          <w:rFonts w:hint="eastAsia" w:hAnsi="宋体"/>
          <w:color w:val="000000"/>
          <w:sz w:val="24"/>
          <w:highlight w:val="none"/>
        </w:rPr>
      </w:pPr>
      <w:r>
        <w:rPr>
          <w:rFonts w:hint="eastAsia" w:hAnsi="宋体"/>
          <w:color w:val="000000"/>
          <w:sz w:val="24"/>
          <w:highlight w:val="none"/>
        </w:rPr>
        <w:t>甲方为合法成立并有效存续的金融机构；乙方为经中国</w:t>
      </w:r>
      <w:r>
        <w:rPr>
          <w:rFonts w:hint="eastAsia" w:ascii="Times New Roman" w:hAnsi="宋体" w:eastAsia="宋体" w:cs="Times New Roman"/>
          <w:b w:val="0"/>
          <w:i w:val="0"/>
          <w:caps w:val="0"/>
          <w:color w:val="000000"/>
          <w:spacing w:val="0"/>
          <w:sz w:val="24"/>
          <w:szCs w:val="21"/>
          <w:highlight w:val="none"/>
          <w:shd w:val="clear" w:color="auto" w:fill="auto"/>
        </w:rPr>
        <w:t>银行保险监督管理委员会</w:t>
      </w:r>
      <w:r>
        <w:rPr>
          <w:rFonts w:hint="eastAsia" w:ascii="Times New Roman" w:hAnsi="宋体" w:eastAsia="宋体" w:cs="Times New Roman"/>
          <w:b w:val="0"/>
          <w:i w:val="0"/>
          <w:caps w:val="0"/>
          <w:color w:val="000000"/>
          <w:spacing w:val="0"/>
          <w:sz w:val="24"/>
          <w:szCs w:val="21"/>
          <w:highlight w:val="none"/>
          <w:shd w:val="clear" w:color="auto" w:fill="auto"/>
          <w:lang w:eastAsia="zh-CN"/>
        </w:rPr>
        <w:t>（下称“</w:t>
      </w:r>
      <w:r>
        <w:rPr>
          <w:rFonts w:hint="eastAsia" w:hAnsi="宋体"/>
          <w:color w:val="000000"/>
          <w:sz w:val="24"/>
          <w:highlight w:val="none"/>
        </w:rPr>
        <w:t>银</w:t>
      </w:r>
      <w:r>
        <w:rPr>
          <w:rFonts w:hint="eastAsia" w:hAnsi="宋体"/>
          <w:color w:val="000000"/>
          <w:sz w:val="24"/>
          <w:highlight w:val="none"/>
          <w:lang w:eastAsia="zh-CN"/>
        </w:rPr>
        <w:t>保</w:t>
      </w:r>
      <w:r>
        <w:rPr>
          <w:rFonts w:hint="eastAsia" w:hAnsi="宋体"/>
          <w:color w:val="000000"/>
          <w:sz w:val="24"/>
          <w:highlight w:val="none"/>
        </w:rPr>
        <w:t>监会</w:t>
      </w:r>
      <w:r>
        <w:rPr>
          <w:rFonts w:hint="eastAsia" w:ascii="Times New Roman" w:hAnsi="宋体" w:eastAsia="宋体" w:cs="Times New Roman"/>
          <w:b w:val="0"/>
          <w:i w:val="0"/>
          <w:caps w:val="0"/>
          <w:color w:val="000000"/>
          <w:spacing w:val="0"/>
          <w:sz w:val="24"/>
          <w:szCs w:val="21"/>
          <w:highlight w:val="none"/>
          <w:shd w:val="clear" w:color="auto" w:fill="auto"/>
          <w:lang w:eastAsia="zh-CN"/>
        </w:rPr>
        <w:t>”）</w:t>
      </w:r>
      <w:r>
        <w:rPr>
          <w:rFonts w:hint="eastAsia" w:hAnsi="宋体"/>
          <w:color w:val="000000"/>
          <w:sz w:val="24"/>
          <w:highlight w:val="none"/>
        </w:rPr>
        <w:t>批准合法成立并有效存续的商业银行,经中国证券监督管理委员会批准，具有证券投资基金托管业务资格，可以开展商业银行理财</w:t>
      </w:r>
      <w:r>
        <w:rPr>
          <w:rFonts w:hint="eastAsia" w:hAnsi="宋体"/>
          <w:color w:val="000000"/>
          <w:sz w:val="24"/>
          <w:highlight w:val="none"/>
          <w:lang w:eastAsia="zh-CN"/>
        </w:rPr>
        <w:t>产品</w:t>
      </w:r>
      <w:r>
        <w:rPr>
          <w:rFonts w:hint="eastAsia" w:hAnsi="宋体"/>
          <w:color w:val="000000"/>
          <w:sz w:val="24"/>
          <w:highlight w:val="none"/>
        </w:rPr>
        <w:t>托管业务。</w:t>
      </w:r>
    </w:p>
    <w:p>
      <w:pPr>
        <w:numPr>
          <w:ilvl w:val="0"/>
          <w:numId w:val="1"/>
        </w:numPr>
        <w:tabs>
          <w:tab w:val="right" w:leader="dot" w:pos="284"/>
        </w:tabs>
        <w:spacing w:line="420" w:lineRule="exact"/>
        <w:ind w:left="-426" w:leftChars="-203" w:right="424" w:rightChars="202" w:firstLine="568"/>
        <w:rPr>
          <w:rFonts w:hint="eastAsia" w:hAnsi="宋体"/>
          <w:color w:val="000000"/>
          <w:sz w:val="24"/>
          <w:highlight w:val="none"/>
        </w:rPr>
      </w:pPr>
      <w:r>
        <w:rPr>
          <w:rFonts w:hint="eastAsia" w:hAnsi="宋体"/>
          <w:color w:val="000000"/>
          <w:sz w:val="24"/>
          <w:highlight w:val="none"/>
        </w:rPr>
        <w:t>甲方作为</w:t>
      </w:r>
      <w:r>
        <w:rPr>
          <w:rFonts w:hint="eastAsia" w:hAnsi="宋体"/>
          <w:color w:val="000000"/>
          <w:sz w:val="24"/>
          <w:highlight w:val="none"/>
          <w:u w:val="single"/>
          <w:shd w:val="clear" w:color="FFFFFF" w:fill="D9D9D9"/>
        </w:rPr>
        <w:fldChar w:fldCharType="begin">
          <w:ffData>
            <w:name w:val="Text2"/>
            <w:enabled/>
            <w:calcOnExit w:val="0"/>
            <w:textInput/>
          </w:ffData>
        </w:fldChar>
      </w:r>
      <w:r>
        <w:rPr>
          <w:rFonts w:hint="eastAsia" w:hAnsi="宋体"/>
          <w:color w:val="000000"/>
          <w:sz w:val="24"/>
          <w:highlight w:val="none"/>
          <w:u w:val="single"/>
          <w:shd w:val="clear" w:color="FFFFFF" w:fill="D9D9D9"/>
        </w:rPr>
        <w:instrText xml:space="preserve">FORMTEXT</w:instrText>
      </w:r>
      <w:r>
        <w:rPr>
          <w:rFonts w:hint="eastAsia" w:hAnsi="宋体"/>
          <w:color w:val="000000"/>
          <w:sz w:val="24"/>
          <w:highlight w:val="none"/>
          <w:u w:val="single"/>
          <w:shd w:val="clear" w:color="FFFFFF" w:fill="D9D9D9"/>
        </w:rPr>
        <w:fldChar w:fldCharType="separate"/>
      </w:r>
      <w:r>
        <w:rPr>
          <w:rFonts w:hint="eastAsia" w:hAnsi="宋体"/>
          <w:color w:val="000000"/>
          <w:sz w:val="24"/>
          <w:highlight w:val="none"/>
          <w:u w:val="single"/>
          <w:shd w:val="clear" w:color="FFFFFF" w:fill="D9D9D9"/>
        </w:rPr>
        <w:t>太原市城区农村信用合作联社信盈宝系列</w:t>
      </w:r>
      <w:r>
        <w:rPr>
          <w:rFonts w:hint="eastAsia" w:hAnsi="宋体"/>
          <w:color w:val="000000"/>
          <w:sz w:val="24"/>
          <w:highlight w:val="none"/>
          <w:u w:val="single"/>
          <w:shd w:val="clear" w:color="FFFFFF" w:fill="D9D9D9"/>
        </w:rPr>
        <w:fldChar w:fldCharType="end"/>
      </w:r>
      <w:r>
        <w:rPr>
          <w:rFonts w:hint="eastAsia" w:hAnsi="宋体"/>
          <w:color w:val="000000"/>
          <w:sz w:val="24"/>
          <w:highlight w:val="none"/>
        </w:rPr>
        <w:t>理财计划（以下简称“理财产品”）的发行人和管理人，同意委托乙方为理财产品托管人，乙方愿意接受甲方的委托，负责理财</w:t>
      </w:r>
      <w:r>
        <w:rPr>
          <w:rFonts w:hint="eastAsia" w:hAnsi="宋体"/>
          <w:color w:val="000000"/>
          <w:sz w:val="24"/>
          <w:highlight w:val="none"/>
          <w:lang w:eastAsia="zh-CN"/>
        </w:rPr>
        <w:t>产品财产</w:t>
      </w:r>
      <w:r>
        <w:rPr>
          <w:rFonts w:hint="eastAsia" w:hAnsi="宋体"/>
          <w:color w:val="000000"/>
          <w:sz w:val="24"/>
          <w:highlight w:val="none"/>
        </w:rPr>
        <w:t>的安全保管。</w:t>
      </w:r>
    </w:p>
    <w:p>
      <w:pPr>
        <w:tabs>
          <w:tab w:val="right" w:leader="dot" w:pos="284"/>
          <w:tab w:val="left" w:pos="1455"/>
        </w:tabs>
        <w:spacing w:line="420" w:lineRule="exact"/>
        <w:ind w:left="-426" w:leftChars="-203" w:right="424" w:rightChars="202" w:firstLine="568"/>
        <w:rPr>
          <w:rFonts w:cs="宋体"/>
          <w:color w:val="000000"/>
          <w:sz w:val="24"/>
          <w:szCs w:val="20"/>
          <w:highlight w:val="none"/>
        </w:rPr>
      </w:pPr>
      <w:r>
        <w:rPr>
          <w:rFonts w:hint="eastAsia" w:cs="宋体"/>
          <w:color w:val="000000"/>
          <w:sz w:val="24"/>
          <w:szCs w:val="20"/>
          <w:highlight w:val="none"/>
        </w:rPr>
        <w:t>为明确双方在理财</w:t>
      </w:r>
      <w:r>
        <w:rPr>
          <w:rFonts w:hint="eastAsia" w:hAnsi="宋体"/>
          <w:color w:val="000000"/>
          <w:sz w:val="24"/>
          <w:highlight w:val="none"/>
          <w:lang w:eastAsia="zh-CN"/>
        </w:rPr>
        <w:t>产品</w:t>
      </w:r>
      <w:r>
        <w:rPr>
          <w:rFonts w:hint="eastAsia" w:cs="宋体"/>
          <w:color w:val="000000"/>
          <w:sz w:val="24"/>
          <w:szCs w:val="20"/>
          <w:highlight w:val="none"/>
        </w:rPr>
        <w:t>托管的权利、义务及职责，确保理财</w:t>
      </w:r>
      <w:r>
        <w:rPr>
          <w:rFonts w:hint="eastAsia" w:hAnsi="宋体"/>
          <w:color w:val="000000"/>
          <w:sz w:val="24"/>
          <w:highlight w:val="none"/>
          <w:lang w:eastAsia="zh-CN"/>
        </w:rPr>
        <w:t>产品财产</w:t>
      </w:r>
      <w:r>
        <w:rPr>
          <w:rFonts w:hint="eastAsia" w:cs="宋体"/>
          <w:color w:val="000000"/>
          <w:sz w:val="24"/>
          <w:szCs w:val="20"/>
          <w:highlight w:val="none"/>
        </w:rPr>
        <w:t>的安全，保护理财产品委托人（以下简称“委托人”）的合法权益，依据《中华人民共和国合同法》、《</w:t>
      </w:r>
      <w:r>
        <w:rPr>
          <w:rFonts w:cs="宋体"/>
          <w:color w:val="000000"/>
          <w:sz w:val="24"/>
          <w:szCs w:val="20"/>
          <w:highlight w:val="none"/>
        </w:rPr>
        <w:fldChar w:fldCharType="begin"/>
      </w:r>
      <w:r>
        <w:rPr>
          <w:rFonts w:cs="宋体"/>
          <w:color w:val="000000"/>
          <w:sz w:val="24"/>
          <w:szCs w:val="20"/>
          <w:highlight w:val="none"/>
        </w:rPr>
        <w:instrText xml:space="preserve"> HYPERLINK "javascript:SLC(60172,0)" </w:instrText>
      </w:r>
      <w:r>
        <w:rPr>
          <w:rFonts w:cs="宋体"/>
          <w:color w:val="000000"/>
          <w:sz w:val="24"/>
          <w:szCs w:val="20"/>
          <w:highlight w:val="none"/>
        </w:rPr>
        <w:fldChar w:fldCharType="separate"/>
      </w:r>
      <w:r>
        <w:rPr>
          <w:rFonts w:hint="eastAsia" w:cs="宋体"/>
          <w:color w:val="000000"/>
          <w:sz w:val="24"/>
          <w:szCs w:val="20"/>
          <w:highlight w:val="none"/>
        </w:rPr>
        <w:t>商业银行理财业务</w:t>
      </w:r>
      <w:r>
        <w:rPr>
          <w:rFonts w:hint="eastAsia" w:cs="宋体"/>
          <w:color w:val="000000"/>
          <w:sz w:val="24"/>
          <w:szCs w:val="20"/>
          <w:highlight w:val="none"/>
          <w:lang w:eastAsia="zh-CN"/>
        </w:rPr>
        <w:t>监督</w:t>
      </w:r>
      <w:r>
        <w:rPr>
          <w:rFonts w:hint="eastAsia" w:cs="宋体"/>
          <w:color w:val="000000"/>
          <w:sz w:val="24"/>
          <w:szCs w:val="20"/>
          <w:highlight w:val="none"/>
        </w:rPr>
        <w:t>管理办法</w:t>
      </w:r>
      <w:r>
        <w:rPr>
          <w:rFonts w:cs="宋体"/>
          <w:color w:val="000000"/>
          <w:sz w:val="24"/>
          <w:szCs w:val="20"/>
          <w:highlight w:val="none"/>
        </w:rPr>
        <w:fldChar w:fldCharType="end"/>
      </w:r>
      <w:r>
        <w:rPr>
          <w:rFonts w:hint="eastAsia" w:cs="宋体"/>
          <w:color w:val="000000"/>
          <w:sz w:val="24"/>
          <w:szCs w:val="20"/>
          <w:highlight w:val="none"/>
        </w:rPr>
        <w:t>》等法律法规以及中国银</w:t>
      </w:r>
      <w:r>
        <w:rPr>
          <w:rFonts w:hint="eastAsia" w:cs="宋体"/>
          <w:color w:val="000000"/>
          <w:sz w:val="24"/>
          <w:szCs w:val="20"/>
          <w:highlight w:val="none"/>
          <w:lang w:eastAsia="zh-CN"/>
        </w:rPr>
        <w:t>保</w:t>
      </w:r>
      <w:r>
        <w:rPr>
          <w:rFonts w:hint="eastAsia" w:cs="宋体"/>
          <w:color w:val="000000"/>
          <w:sz w:val="24"/>
          <w:szCs w:val="20"/>
          <w:highlight w:val="none"/>
        </w:rPr>
        <w:t>监会关于理财</w:t>
      </w:r>
      <w:r>
        <w:rPr>
          <w:rFonts w:hint="eastAsia" w:cs="宋体"/>
          <w:color w:val="000000"/>
          <w:sz w:val="24"/>
          <w:szCs w:val="20"/>
          <w:highlight w:val="none"/>
          <w:lang w:eastAsia="zh-CN"/>
        </w:rPr>
        <w:t>产品</w:t>
      </w:r>
      <w:r>
        <w:rPr>
          <w:rFonts w:hint="eastAsia" w:cs="宋体"/>
          <w:color w:val="000000"/>
          <w:sz w:val="24"/>
          <w:szCs w:val="20"/>
          <w:highlight w:val="none"/>
        </w:rPr>
        <w:t>托管的相关规定，特签订本协议。</w:t>
      </w:r>
    </w:p>
    <w:p>
      <w:pPr>
        <w:tabs>
          <w:tab w:val="right" w:leader="dot" w:pos="284"/>
          <w:tab w:val="left" w:pos="1455"/>
        </w:tabs>
        <w:spacing w:line="420" w:lineRule="exact"/>
        <w:ind w:left="-426" w:leftChars="-203" w:right="424" w:rightChars="202" w:firstLine="568"/>
        <w:rPr>
          <w:rFonts w:cs="宋体"/>
          <w:color w:val="000000"/>
          <w:sz w:val="24"/>
          <w:szCs w:val="20"/>
          <w:highlight w:val="none"/>
        </w:rPr>
      </w:pPr>
      <w:r>
        <w:rPr>
          <w:rFonts w:hint="eastAsia" w:cs="宋体"/>
          <w:color w:val="000000"/>
          <w:sz w:val="24"/>
          <w:szCs w:val="20"/>
          <w:highlight w:val="none"/>
        </w:rPr>
        <w:t>双方在此声明：甲、乙双方均具有权利和充分的授权签署本协议并履行在本协议项下的全部义务。</w:t>
      </w:r>
      <w:r>
        <w:rPr>
          <w:rFonts w:hint="eastAsia" w:hAnsi="宋体"/>
          <w:sz w:val="24"/>
          <w:szCs w:val="20"/>
          <w:highlight w:val="none"/>
        </w:rPr>
        <w:t>甲方承诺保证</w:t>
      </w:r>
      <w:r>
        <w:rPr>
          <w:rFonts w:hint="eastAsia" w:hAnsi="宋体"/>
          <w:sz w:val="24"/>
          <w:szCs w:val="20"/>
          <w:highlight w:val="none"/>
          <w:lang w:eastAsia="zh-CN"/>
        </w:rPr>
        <w:t>理财</w:t>
      </w:r>
      <w:r>
        <w:rPr>
          <w:rFonts w:hint="eastAsia" w:hAnsi="宋体"/>
          <w:sz w:val="24"/>
          <w:szCs w:val="20"/>
          <w:highlight w:val="none"/>
        </w:rPr>
        <w:t>资金来源的合法合规性，并履行（或承担）投资者身份识别、投资者身份以及交易记录保存等法定反洗钱义务。</w:t>
      </w:r>
    </w:p>
    <w:p>
      <w:pPr>
        <w:pStyle w:val="2"/>
        <w:tabs>
          <w:tab w:val="right" w:leader="dot" w:pos="284"/>
        </w:tabs>
        <w:adjustRightInd w:val="0"/>
        <w:spacing w:before="0" w:beforeLines="0" w:after="0" w:afterLines="0" w:line="420" w:lineRule="exact"/>
        <w:ind w:left="-426" w:leftChars="-203" w:right="424" w:rightChars="202" w:firstLine="568"/>
        <w:jc w:val="center"/>
        <w:textAlignment w:val="auto"/>
        <w:rPr>
          <w:bCs w:val="0"/>
          <w:color w:val="000000"/>
          <w:sz w:val="24"/>
          <w:szCs w:val="20"/>
          <w:highlight w:val="none"/>
        </w:rPr>
      </w:pPr>
      <w:r>
        <w:rPr>
          <w:rFonts w:hint="eastAsia" w:cs="宋体"/>
          <w:color w:val="000000"/>
          <w:sz w:val="24"/>
          <w:szCs w:val="20"/>
          <w:highlight w:val="none"/>
        </w:rPr>
        <w:t xml:space="preserve"> </w:t>
      </w:r>
      <w:bookmarkStart w:id="3" w:name="_Toc382240755"/>
      <w:bookmarkStart w:id="4" w:name="_Toc3134"/>
      <w:r>
        <w:rPr>
          <w:rFonts w:hint="eastAsia" w:cs="宋体"/>
          <w:bCs w:val="0"/>
          <w:color w:val="000000"/>
          <w:sz w:val="24"/>
          <w:szCs w:val="20"/>
          <w:highlight w:val="none"/>
        </w:rPr>
        <w:t>第一条</w:t>
      </w:r>
      <w:r>
        <w:rPr>
          <w:bCs w:val="0"/>
          <w:color w:val="000000"/>
          <w:sz w:val="24"/>
          <w:szCs w:val="20"/>
          <w:highlight w:val="none"/>
        </w:rPr>
        <w:t xml:space="preserve">  </w:t>
      </w:r>
      <w:r>
        <w:rPr>
          <w:rFonts w:hint="eastAsia" w:cs="宋体"/>
          <w:bCs w:val="0"/>
          <w:color w:val="000000"/>
          <w:sz w:val="24"/>
          <w:szCs w:val="20"/>
          <w:highlight w:val="none"/>
        </w:rPr>
        <w:t>委托事项及期限</w:t>
      </w:r>
      <w:bookmarkEnd w:id="3"/>
      <w:bookmarkEnd w:id="4"/>
    </w:p>
    <w:p>
      <w:pPr>
        <w:tabs>
          <w:tab w:val="right" w:leader="dot" w:pos="284"/>
          <w:tab w:val="left" w:pos="1455"/>
        </w:tabs>
        <w:spacing w:line="420" w:lineRule="exact"/>
        <w:ind w:left="-426" w:leftChars="-203" w:right="424" w:rightChars="202" w:firstLine="568"/>
        <w:rPr>
          <w:rFonts w:cs="宋体"/>
          <w:color w:val="000000"/>
          <w:sz w:val="24"/>
          <w:szCs w:val="20"/>
          <w:highlight w:val="none"/>
        </w:rPr>
      </w:pPr>
      <w:r>
        <w:rPr>
          <w:color w:val="000000"/>
          <w:kern w:val="0"/>
          <w:sz w:val="24"/>
          <w:szCs w:val="20"/>
          <w:highlight w:val="none"/>
        </w:rPr>
        <w:t>1.1</w:t>
      </w:r>
      <w:r>
        <w:rPr>
          <w:rFonts w:hint="eastAsia" w:cs="宋体"/>
          <w:color w:val="000000"/>
          <w:sz w:val="24"/>
          <w:szCs w:val="20"/>
          <w:highlight w:val="none"/>
        </w:rPr>
        <w:t>甲方委托乙方按照本协议</w:t>
      </w:r>
      <w:r>
        <w:rPr>
          <w:rFonts w:hint="eastAsia" w:cs="宋体"/>
          <w:color w:val="000000"/>
          <w:sz w:val="24"/>
          <w:szCs w:val="20"/>
          <w:highlight w:val="none"/>
          <w:lang w:eastAsia="zh-CN"/>
        </w:rPr>
        <w:t>及有关监管规定</w:t>
      </w:r>
      <w:r>
        <w:rPr>
          <w:rFonts w:hint="eastAsia" w:cs="宋体"/>
          <w:color w:val="000000"/>
          <w:sz w:val="24"/>
          <w:szCs w:val="20"/>
          <w:highlight w:val="none"/>
        </w:rPr>
        <w:t>的要求，为理财产品提供托管服务，包括但不限于：托管专户内资金的保管、理财资金的划拨、理财费用的核对和扣划以及本协议约定</w:t>
      </w:r>
      <w:r>
        <w:rPr>
          <w:rFonts w:hint="eastAsia" w:cs="宋体"/>
          <w:color w:val="000000"/>
          <w:sz w:val="24"/>
          <w:szCs w:val="20"/>
          <w:highlight w:val="none"/>
          <w:lang w:eastAsia="zh-CN"/>
        </w:rPr>
        <w:t>及有关监管规定</w:t>
      </w:r>
      <w:r>
        <w:rPr>
          <w:rFonts w:hint="eastAsia" w:cs="宋体"/>
          <w:color w:val="000000"/>
          <w:sz w:val="24"/>
          <w:szCs w:val="20"/>
          <w:highlight w:val="none"/>
        </w:rPr>
        <w:t>的其他托管职责。乙方对于已划转出托管专户的财产，以及处于乙方实际控制之外的财产不承担保管责任。</w:t>
      </w:r>
    </w:p>
    <w:p>
      <w:pPr>
        <w:tabs>
          <w:tab w:val="right" w:leader="dot" w:pos="284"/>
          <w:tab w:val="left" w:pos="1455"/>
        </w:tabs>
        <w:spacing w:line="420" w:lineRule="exact"/>
        <w:ind w:left="-426" w:leftChars="-203" w:right="424" w:rightChars="202" w:firstLine="568"/>
        <w:rPr>
          <w:rFonts w:hint="eastAsia" w:cs="宋体"/>
          <w:color w:val="000000"/>
          <w:sz w:val="24"/>
          <w:szCs w:val="20"/>
          <w:highlight w:val="none"/>
        </w:rPr>
      </w:pPr>
      <w:r>
        <w:rPr>
          <w:rFonts w:hint="eastAsia" w:cs="宋体"/>
          <w:color w:val="000000"/>
          <w:sz w:val="24"/>
          <w:szCs w:val="20"/>
          <w:highlight w:val="none"/>
        </w:rPr>
        <w:t>乙方对理财</w:t>
      </w:r>
      <w:r>
        <w:rPr>
          <w:rFonts w:hint="eastAsia" w:cs="宋体"/>
          <w:color w:val="000000"/>
          <w:sz w:val="24"/>
          <w:szCs w:val="20"/>
          <w:highlight w:val="none"/>
          <w:lang w:eastAsia="zh-CN"/>
        </w:rPr>
        <w:t>产品</w:t>
      </w:r>
      <w:r>
        <w:rPr>
          <w:rFonts w:hint="eastAsia" w:cs="宋体"/>
          <w:color w:val="000000"/>
          <w:sz w:val="24"/>
          <w:szCs w:val="20"/>
          <w:highlight w:val="none"/>
        </w:rPr>
        <w:t>的托管并非对该理财产品本金或收益的保证或承诺，乙方不承担托管理财</w:t>
      </w:r>
      <w:r>
        <w:rPr>
          <w:rFonts w:hint="eastAsia" w:cs="宋体"/>
          <w:color w:val="000000"/>
          <w:sz w:val="24"/>
          <w:szCs w:val="20"/>
          <w:highlight w:val="none"/>
          <w:lang w:eastAsia="zh-CN"/>
        </w:rPr>
        <w:t>产品</w:t>
      </w:r>
      <w:r>
        <w:rPr>
          <w:rFonts w:hint="eastAsia" w:cs="宋体"/>
          <w:color w:val="000000"/>
          <w:sz w:val="24"/>
          <w:szCs w:val="20"/>
          <w:highlight w:val="none"/>
        </w:rPr>
        <w:t>的投资风险。本协议的签订，并不表明乙方对理财产品的价值和收益作出实质性判断或保证，也不表明投资于理财产品没有风险。</w:t>
      </w:r>
    </w:p>
    <w:p>
      <w:pPr>
        <w:tabs>
          <w:tab w:val="right" w:leader="dot" w:pos="284"/>
          <w:tab w:val="left" w:pos="1455"/>
        </w:tabs>
        <w:spacing w:line="420" w:lineRule="exact"/>
        <w:ind w:left="-426" w:leftChars="-203" w:right="424" w:rightChars="202" w:firstLine="568"/>
        <w:rPr>
          <w:rFonts w:cs="宋体"/>
          <w:color w:val="000000"/>
          <w:sz w:val="24"/>
          <w:szCs w:val="20"/>
          <w:highlight w:val="none"/>
        </w:rPr>
      </w:pPr>
      <w:r>
        <w:rPr>
          <w:color w:val="000000"/>
          <w:kern w:val="0"/>
          <w:sz w:val="24"/>
          <w:szCs w:val="20"/>
          <w:highlight w:val="none"/>
        </w:rPr>
        <w:t>1.2</w:t>
      </w:r>
      <w:r>
        <w:rPr>
          <w:rFonts w:hint="eastAsia" w:cs="宋体"/>
          <w:color w:val="000000"/>
          <w:sz w:val="24"/>
          <w:szCs w:val="20"/>
          <w:highlight w:val="none"/>
        </w:rPr>
        <w:t>委托期限</w:t>
      </w:r>
    </w:p>
    <w:p>
      <w:pPr>
        <w:tabs>
          <w:tab w:val="right" w:leader="dot" w:pos="284"/>
          <w:tab w:val="left" w:pos="1455"/>
        </w:tabs>
        <w:spacing w:line="420" w:lineRule="exact"/>
        <w:ind w:left="-426" w:leftChars="-203" w:right="424" w:rightChars="202" w:firstLine="568"/>
        <w:rPr>
          <w:rFonts w:hint="eastAsia" w:eastAsia="宋体" w:cs="宋体"/>
          <w:color w:val="000000"/>
          <w:sz w:val="24"/>
          <w:szCs w:val="20"/>
          <w:highlight w:val="none"/>
          <w:lang w:val="en-US" w:eastAsia="zh-CN"/>
        </w:rPr>
      </w:pPr>
      <w:r>
        <w:rPr>
          <w:rFonts w:hint="eastAsia" w:cs="宋体"/>
          <w:color w:val="000000"/>
          <w:sz w:val="24"/>
          <w:szCs w:val="20"/>
          <w:highlight w:val="none"/>
        </w:rPr>
        <w:t>委托期限同理财产品期限，如理财产品期限有调整，委托期限相应调整。</w:t>
      </w:r>
      <w:r>
        <w:rPr>
          <w:rFonts w:hint="eastAsia" w:cs="宋体"/>
          <w:color w:val="000000"/>
          <w:sz w:val="24"/>
          <w:szCs w:val="20"/>
          <w:highlight w:val="none"/>
          <w:lang w:eastAsia="zh-CN"/>
        </w:rPr>
        <w:t>如更换托管人而提前结束委托期限的，以甲方通知为准。</w:t>
      </w:r>
      <w:r>
        <w:rPr>
          <w:rFonts w:hint="eastAsia" w:cs="宋体"/>
          <w:color w:val="000000"/>
          <w:sz w:val="24"/>
          <w:szCs w:val="20"/>
          <w:highlight w:val="none"/>
          <w:lang w:val="en-US" w:eastAsia="zh-CN"/>
        </w:rPr>
        <w:t>新托管人履行托管职责前，乙方仍按本协议约定履行托管职责，并配合办理资产移交及账户变更手续。</w:t>
      </w:r>
    </w:p>
    <w:p>
      <w:pPr>
        <w:pStyle w:val="2"/>
        <w:tabs>
          <w:tab w:val="right" w:leader="dot" w:pos="284"/>
        </w:tabs>
        <w:adjustRightInd w:val="0"/>
        <w:spacing w:before="0" w:beforeLines="0" w:after="0" w:afterLines="0" w:line="420" w:lineRule="exact"/>
        <w:ind w:left="-426" w:leftChars="-203" w:right="424" w:rightChars="202" w:firstLine="568"/>
        <w:jc w:val="center"/>
        <w:textAlignment w:val="auto"/>
        <w:rPr>
          <w:bCs w:val="0"/>
          <w:color w:val="000000"/>
          <w:sz w:val="24"/>
          <w:szCs w:val="20"/>
          <w:highlight w:val="none"/>
        </w:rPr>
      </w:pPr>
      <w:bookmarkStart w:id="5" w:name="_Toc382240756"/>
      <w:bookmarkStart w:id="6" w:name="_Toc31138"/>
      <w:r>
        <w:rPr>
          <w:rFonts w:hint="eastAsia" w:cs="宋体"/>
          <w:bCs w:val="0"/>
          <w:color w:val="000000"/>
          <w:sz w:val="24"/>
          <w:szCs w:val="20"/>
          <w:highlight w:val="none"/>
        </w:rPr>
        <w:t>第二条</w:t>
      </w:r>
      <w:r>
        <w:rPr>
          <w:bCs w:val="0"/>
          <w:color w:val="000000"/>
          <w:sz w:val="24"/>
          <w:szCs w:val="20"/>
          <w:highlight w:val="none"/>
        </w:rPr>
        <w:t xml:space="preserve">  </w:t>
      </w:r>
      <w:r>
        <w:rPr>
          <w:rFonts w:hint="eastAsia" w:cs="宋体"/>
          <w:bCs w:val="0"/>
          <w:color w:val="000000"/>
          <w:sz w:val="24"/>
          <w:szCs w:val="20"/>
          <w:highlight w:val="none"/>
        </w:rPr>
        <w:t>甲方的权利及义务</w:t>
      </w:r>
      <w:bookmarkEnd w:id="5"/>
      <w:bookmarkEnd w:id="6"/>
    </w:p>
    <w:p>
      <w:pPr>
        <w:tabs>
          <w:tab w:val="right" w:leader="dot" w:pos="284"/>
          <w:tab w:val="left" w:pos="1455"/>
        </w:tabs>
        <w:spacing w:line="420" w:lineRule="exact"/>
        <w:ind w:left="-426" w:leftChars="-203" w:right="424" w:rightChars="202" w:firstLine="568"/>
        <w:rPr>
          <w:rFonts w:cs="宋体"/>
          <w:color w:val="000000"/>
          <w:sz w:val="24"/>
          <w:szCs w:val="20"/>
          <w:highlight w:val="none"/>
        </w:rPr>
      </w:pPr>
      <w:r>
        <w:rPr>
          <w:color w:val="000000"/>
          <w:kern w:val="0"/>
          <w:sz w:val="24"/>
          <w:szCs w:val="20"/>
          <w:highlight w:val="none"/>
        </w:rPr>
        <w:t>2.1</w:t>
      </w:r>
      <w:r>
        <w:rPr>
          <w:rFonts w:hint="eastAsia" w:cs="宋体"/>
          <w:color w:val="000000"/>
          <w:sz w:val="24"/>
          <w:szCs w:val="20"/>
          <w:highlight w:val="none"/>
        </w:rPr>
        <w:t>甲方的权利：</w:t>
      </w:r>
    </w:p>
    <w:p>
      <w:pPr>
        <w:tabs>
          <w:tab w:val="right" w:leader="dot" w:pos="284"/>
          <w:tab w:val="left" w:pos="1455"/>
        </w:tabs>
        <w:spacing w:line="420" w:lineRule="exact"/>
        <w:ind w:left="-426" w:leftChars="-203" w:right="424" w:rightChars="202" w:firstLine="568"/>
        <w:rPr>
          <w:rFonts w:cs="宋体"/>
          <w:color w:val="000000"/>
          <w:sz w:val="24"/>
          <w:szCs w:val="20"/>
          <w:highlight w:val="none"/>
        </w:rPr>
      </w:pPr>
      <w:r>
        <w:rPr>
          <w:color w:val="000000"/>
          <w:kern w:val="0"/>
          <w:sz w:val="24"/>
          <w:szCs w:val="20"/>
          <w:highlight w:val="none"/>
        </w:rPr>
        <w:t xml:space="preserve">2.1.1 </w:t>
      </w:r>
      <w:r>
        <w:rPr>
          <w:rFonts w:hint="eastAsia" w:cs="宋体"/>
          <w:color w:val="000000"/>
          <w:sz w:val="24"/>
          <w:szCs w:val="20"/>
          <w:highlight w:val="none"/>
        </w:rPr>
        <w:t>根据《</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hint="eastAsia" w:cs="宋体"/>
          <w:color w:val="000000"/>
          <w:sz w:val="24"/>
          <w:szCs w:val="20"/>
          <w:highlight w:val="none"/>
          <w:u w:val="single"/>
          <w:shd w:val="clear" w:color="FFFFFF" w:fill="D9D9D9"/>
        </w:rPr>
        <w:t>太原市城区农村信用合作联社信盈宝系列</w:t>
      </w:r>
      <w:r>
        <w:rPr>
          <w:rFonts w:hint="eastAsia" w:cs="宋体"/>
          <w:color w:val="000000"/>
          <w:sz w:val="24"/>
          <w:szCs w:val="20"/>
          <w:highlight w:val="none"/>
          <w:u w:val="single"/>
          <w:shd w:val="clear" w:color="FFFFFF" w:fill="D9D9D9"/>
        </w:rPr>
        <w:fldChar w:fldCharType="end"/>
      </w:r>
      <w:r>
        <w:rPr>
          <w:rFonts w:hint="eastAsia" w:cs="宋体"/>
          <w:color w:val="000000"/>
          <w:sz w:val="24"/>
          <w:szCs w:val="20"/>
          <w:highlight w:val="none"/>
        </w:rPr>
        <w:t>理财计划说明书》（以下简称“产品说明书”）、《</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hint="eastAsia" w:cs="宋体"/>
          <w:color w:val="000000"/>
          <w:sz w:val="24"/>
          <w:szCs w:val="20"/>
          <w:highlight w:val="none"/>
          <w:u w:val="single"/>
          <w:shd w:val="clear" w:color="FFFFFF" w:fill="D9D9D9"/>
        </w:rPr>
        <w:t>太原市城区农村信用合作联社信盈宝系列</w:t>
      </w:r>
      <w:r>
        <w:rPr>
          <w:rFonts w:hint="eastAsia" w:cs="宋体"/>
          <w:color w:val="000000"/>
          <w:sz w:val="24"/>
          <w:szCs w:val="20"/>
          <w:highlight w:val="none"/>
          <w:u w:val="single"/>
          <w:shd w:val="clear" w:color="FFFFFF" w:fill="D9D9D9"/>
        </w:rPr>
        <w:fldChar w:fldCharType="end"/>
      </w:r>
      <w:r>
        <w:rPr>
          <w:rFonts w:hint="eastAsia" w:cs="宋体"/>
          <w:color w:val="000000"/>
          <w:sz w:val="24"/>
          <w:szCs w:val="20"/>
          <w:highlight w:val="none"/>
        </w:rPr>
        <w:t>理财计划协议书/合约》（以下简称“理财协议书”）和本协议的有关约定对理财资金进行投资管理、运用、处置和分配；</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2.1.2</w:t>
      </w:r>
      <w:r>
        <w:rPr>
          <w:rFonts w:cs="宋体"/>
          <w:color w:val="000000"/>
          <w:kern w:val="0"/>
          <w:sz w:val="24"/>
          <w:szCs w:val="20"/>
          <w:highlight w:val="none"/>
        </w:rPr>
        <w:t xml:space="preserve"> </w:t>
      </w:r>
      <w:r>
        <w:rPr>
          <w:rFonts w:hint="eastAsia" w:cs="宋体"/>
          <w:color w:val="000000"/>
          <w:kern w:val="0"/>
          <w:sz w:val="24"/>
          <w:szCs w:val="20"/>
          <w:highlight w:val="none"/>
        </w:rPr>
        <w:t>监督乙方托管行为。对乙方违反国家有关法律法规、本协议</w:t>
      </w:r>
      <w:r>
        <w:rPr>
          <w:rFonts w:hint="eastAsia" w:ascii="宋体" w:hAnsi="宋体" w:cs="宋体"/>
          <w:color w:val="000000"/>
          <w:kern w:val="0"/>
          <w:sz w:val="24"/>
          <w:szCs w:val="20"/>
          <w:highlight w:val="none"/>
        </w:rPr>
        <w:t>等文件</w:t>
      </w:r>
      <w:r>
        <w:rPr>
          <w:rFonts w:hint="eastAsia" w:cs="宋体"/>
          <w:color w:val="000000"/>
          <w:kern w:val="0"/>
          <w:sz w:val="24"/>
          <w:szCs w:val="20"/>
          <w:highlight w:val="none"/>
        </w:rPr>
        <w:t>规定的托管行为，甲方有权要求乙方予以纠正</w:t>
      </w:r>
      <w:r>
        <w:rPr>
          <w:rFonts w:hint="eastAsia" w:cs="宋体"/>
          <w:color w:val="000000"/>
          <w:kern w:val="0"/>
          <w:sz w:val="24"/>
          <w:szCs w:val="20"/>
          <w:highlight w:val="none"/>
          <w:lang w:eastAsia="zh-CN"/>
        </w:rPr>
        <w:t>，</w:t>
      </w:r>
      <w:r>
        <w:rPr>
          <w:rFonts w:hint="eastAsia" w:cs="宋体"/>
          <w:color w:val="000000"/>
          <w:kern w:val="0"/>
          <w:sz w:val="24"/>
          <w:szCs w:val="20"/>
          <w:highlight w:val="none"/>
        </w:rPr>
        <w:t>当</w:t>
      </w:r>
      <w:r>
        <w:rPr>
          <w:rFonts w:hint="eastAsia" w:cs="宋体"/>
          <w:color w:val="000000"/>
          <w:kern w:val="0"/>
          <w:sz w:val="24"/>
          <w:szCs w:val="20"/>
          <w:highlight w:val="none"/>
          <w:lang w:eastAsia="zh-CN"/>
        </w:rPr>
        <w:t>乙</w:t>
      </w:r>
      <w:r>
        <w:rPr>
          <w:rFonts w:hint="eastAsia" w:cs="宋体"/>
          <w:color w:val="000000"/>
          <w:kern w:val="0"/>
          <w:sz w:val="24"/>
          <w:szCs w:val="20"/>
          <w:highlight w:val="none"/>
        </w:rPr>
        <w:t>方出现重大违规行为，有权及时向监管部门报告；</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 xml:space="preserve">2.1.3 </w:t>
      </w:r>
      <w:r>
        <w:rPr>
          <w:rFonts w:hint="eastAsia" w:cs="宋体"/>
          <w:color w:val="000000"/>
          <w:kern w:val="0"/>
          <w:sz w:val="24"/>
          <w:szCs w:val="20"/>
          <w:highlight w:val="none"/>
        </w:rPr>
        <w:t>根据本协议的有关约定向乙方发出理财资金管理运用指令；</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 xml:space="preserve">2.1.4 </w:t>
      </w:r>
      <w:r>
        <w:rPr>
          <w:rFonts w:hint="eastAsia" w:cs="宋体"/>
          <w:color w:val="000000"/>
          <w:kern w:val="0"/>
          <w:sz w:val="24"/>
          <w:szCs w:val="20"/>
          <w:highlight w:val="none"/>
        </w:rPr>
        <w:t>及时、足额地获取约定的管理费及其他费用；</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lang w:val="en-US" w:eastAsia="zh-CN"/>
        </w:rPr>
      </w:pPr>
      <w:r>
        <w:rPr>
          <w:color w:val="000000"/>
          <w:kern w:val="0"/>
          <w:sz w:val="24"/>
          <w:szCs w:val="20"/>
          <w:highlight w:val="none"/>
        </w:rPr>
        <w:t>2.1.5</w:t>
      </w:r>
      <w:r>
        <w:rPr>
          <w:rFonts w:hint="eastAsia" w:cs="宋体"/>
          <w:color w:val="000000"/>
          <w:kern w:val="0"/>
          <w:sz w:val="24"/>
          <w:szCs w:val="20"/>
          <w:highlight w:val="none"/>
          <w:lang w:val="en-US" w:eastAsia="zh-CN"/>
        </w:rPr>
        <w:t xml:space="preserve"> 甲方有权更换托管人；</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rFonts w:hint="eastAsia" w:cs="宋体"/>
          <w:color w:val="000000"/>
          <w:kern w:val="0"/>
          <w:sz w:val="24"/>
          <w:szCs w:val="20"/>
          <w:highlight w:val="none"/>
          <w:lang w:val="en-US" w:eastAsia="zh-CN"/>
        </w:rPr>
        <w:t>2.1.6</w:t>
      </w:r>
      <w:r>
        <w:rPr>
          <w:rFonts w:hint="eastAsia" w:cs="宋体"/>
          <w:color w:val="000000"/>
          <w:kern w:val="0"/>
          <w:sz w:val="24"/>
          <w:szCs w:val="20"/>
          <w:highlight w:val="none"/>
        </w:rPr>
        <w:t>国家有关法律法规、监管机构规定及本协议约</w:t>
      </w:r>
      <w:r>
        <w:rPr>
          <w:rFonts w:hint="eastAsia"/>
          <w:highlight w:val="none"/>
        </w:rPr>
        <w:t>定</w:t>
      </w:r>
      <w:r>
        <w:rPr>
          <w:rFonts w:hint="eastAsia" w:cs="宋体"/>
          <w:color w:val="000000"/>
          <w:kern w:val="0"/>
          <w:sz w:val="24"/>
          <w:szCs w:val="20"/>
          <w:highlight w:val="none"/>
        </w:rPr>
        <w:t>的其他权利。</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 xml:space="preserve">2.2 </w:t>
      </w:r>
      <w:r>
        <w:rPr>
          <w:rFonts w:hint="eastAsia" w:cs="宋体"/>
          <w:color w:val="000000"/>
          <w:kern w:val="0"/>
          <w:sz w:val="24"/>
          <w:szCs w:val="20"/>
          <w:highlight w:val="none"/>
        </w:rPr>
        <w:t>甲方的义务</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color w:val="000000"/>
          <w:kern w:val="0"/>
          <w:sz w:val="24"/>
          <w:szCs w:val="20"/>
          <w:highlight w:val="none"/>
        </w:rPr>
        <w:t xml:space="preserve">2.2.1 </w:t>
      </w:r>
      <w:r>
        <w:rPr>
          <w:rFonts w:hint="eastAsia" w:cs="宋体"/>
          <w:color w:val="000000"/>
          <w:kern w:val="0"/>
          <w:sz w:val="24"/>
          <w:szCs w:val="20"/>
          <w:highlight w:val="none"/>
        </w:rPr>
        <w:t>按照本协议约定将理财资金移交乙方保管，确保移交给乙方托管的资金为甲方合法募集的资金，甲方在法律上拥有无可争议的支配权，保证托管的资金来源及用途符合国家有关规定，同时保证托管资金没有任何可能涉及第三方的权利主张，也没有任何其他限制性条件妨碍乙方对该资金进行托管；</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 xml:space="preserve">2.2.2 </w:t>
      </w:r>
      <w:r>
        <w:rPr>
          <w:rFonts w:hint="eastAsia" w:cs="宋体"/>
          <w:color w:val="000000"/>
          <w:kern w:val="0"/>
          <w:sz w:val="24"/>
          <w:szCs w:val="20"/>
          <w:highlight w:val="none"/>
        </w:rPr>
        <w:t>建立完善的内部控制制度，本着诚实信用的原则，负责本理财产品的管理、运用、处置和分配；</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2.2.3</w:t>
      </w:r>
      <w:r>
        <w:rPr>
          <w:rFonts w:cs="宋体"/>
          <w:color w:val="000000"/>
          <w:kern w:val="0"/>
          <w:sz w:val="24"/>
          <w:szCs w:val="20"/>
          <w:highlight w:val="none"/>
        </w:rPr>
        <w:t xml:space="preserve"> </w:t>
      </w:r>
      <w:r>
        <w:rPr>
          <w:rFonts w:hint="eastAsia" w:cs="宋体"/>
          <w:color w:val="000000"/>
          <w:kern w:val="0"/>
          <w:sz w:val="24"/>
          <w:szCs w:val="20"/>
          <w:highlight w:val="none"/>
        </w:rPr>
        <w:t>按本协议约定方式向乙方发送本理财产品进行各类交易的文件和信息，提供相关合同、文本，并对其完整性、真实性、准确性和有效性负责；</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 xml:space="preserve">2.2.4 </w:t>
      </w:r>
      <w:r>
        <w:rPr>
          <w:rFonts w:hint="eastAsia" w:cs="宋体"/>
          <w:color w:val="000000"/>
          <w:kern w:val="0"/>
          <w:sz w:val="24"/>
          <w:szCs w:val="20"/>
          <w:highlight w:val="none"/>
        </w:rPr>
        <w:t>负责理财产品的会计核算；</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2.2.5</w:t>
      </w:r>
      <w:r>
        <w:rPr>
          <w:rFonts w:cs="宋体"/>
          <w:color w:val="000000"/>
          <w:kern w:val="0"/>
          <w:sz w:val="24"/>
          <w:szCs w:val="20"/>
          <w:highlight w:val="none"/>
        </w:rPr>
        <w:t xml:space="preserve"> </w:t>
      </w:r>
      <w:r>
        <w:rPr>
          <w:rFonts w:hint="eastAsia" w:cs="宋体"/>
          <w:color w:val="000000"/>
          <w:kern w:val="0"/>
          <w:sz w:val="24"/>
          <w:szCs w:val="20"/>
          <w:highlight w:val="none"/>
        </w:rPr>
        <w:t>负责理财产品的清算和分配，计算各委托人的收益情况；</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color w:val="000000"/>
          <w:kern w:val="0"/>
          <w:sz w:val="24"/>
          <w:szCs w:val="20"/>
          <w:highlight w:val="none"/>
        </w:rPr>
        <w:t xml:space="preserve">2.2.6 </w:t>
      </w:r>
      <w:r>
        <w:rPr>
          <w:rFonts w:hint="eastAsia" w:cs="宋体"/>
          <w:color w:val="000000"/>
          <w:kern w:val="0"/>
          <w:sz w:val="24"/>
          <w:szCs w:val="20"/>
          <w:highlight w:val="none"/>
        </w:rPr>
        <w:t>发生任何可能导致本理财产品性质或范围发生重大变化或直接影响托管业务的重大事项时，须提前书面通知乙方，并及时向乙方提供有关证明文件；</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 xml:space="preserve">2.2.7 </w:t>
      </w:r>
      <w:r>
        <w:rPr>
          <w:rFonts w:hint="eastAsia" w:cs="宋体"/>
          <w:color w:val="000000"/>
          <w:kern w:val="0"/>
          <w:sz w:val="24"/>
          <w:szCs w:val="20"/>
          <w:highlight w:val="none"/>
        </w:rPr>
        <w:t>在合法合规的前提下，应乙方的要求对乙方开展托管业务提供必需的协助；</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 xml:space="preserve">2.2.8 </w:t>
      </w:r>
      <w:r>
        <w:rPr>
          <w:rFonts w:hint="eastAsia" w:cs="宋体"/>
          <w:color w:val="000000"/>
          <w:kern w:val="0"/>
          <w:sz w:val="24"/>
          <w:szCs w:val="20"/>
          <w:highlight w:val="none"/>
        </w:rPr>
        <w:t>根据国家有关规定和本协议的约定接受乙方的监督；</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2.2.9（</w:t>
      </w:r>
      <w:r>
        <w:rPr>
          <w:rFonts w:hint="eastAsia" w:cs="宋体"/>
          <w:color w:val="000000"/>
          <w:kern w:val="0"/>
          <w:sz w:val="24"/>
          <w:szCs w:val="20"/>
          <w:highlight w:val="none"/>
        </w:rPr>
        <w:t>每期）理财产品开始募集时，提前三个工作日通知乙方；</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2.2.10</w:t>
      </w:r>
      <w:r>
        <w:rPr>
          <w:rFonts w:hint="eastAsia" w:cs="宋体"/>
          <w:color w:val="000000"/>
          <w:kern w:val="0"/>
          <w:sz w:val="24"/>
          <w:szCs w:val="20"/>
          <w:highlight w:val="none"/>
        </w:rPr>
        <w:t>依照法律法规的要求，按照诚信、真实、完整、准确、及时的原则披露理财业务的相关信息；</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2.2.11</w:t>
      </w:r>
      <w:r>
        <w:rPr>
          <w:rFonts w:hint="eastAsia" w:cs="宋体"/>
          <w:color w:val="000000"/>
          <w:kern w:val="0"/>
          <w:sz w:val="24"/>
          <w:szCs w:val="20"/>
          <w:highlight w:val="none"/>
        </w:rPr>
        <w:t>违反理财文件的有关约定管理、运用、处分理财资金，致使理财产品受到损失或理财产品到期结束后无法按理财协议书的约定向委托人分配的，乙方不承担任何形式的责任；</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2.2.12</w:t>
      </w:r>
      <w:r>
        <w:rPr>
          <w:rFonts w:hint="eastAsia" w:cs="宋体"/>
          <w:color w:val="000000"/>
          <w:kern w:val="0"/>
          <w:sz w:val="24"/>
          <w:szCs w:val="20"/>
          <w:highlight w:val="none"/>
        </w:rPr>
        <w:t>甲方委托第三方履行的有关事项须另行与第三方签订协议。如甲方将其职责范围内的事项委托给第三方执行，该第三方的违约行为若造成理财产品损失或乙方无法按照本协议的约定履行托管义务的，乙方不承担任何形式的责任；</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2.2.1</w:t>
      </w:r>
      <w:r>
        <w:rPr>
          <w:rFonts w:hint="eastAsia"/>
          <w:color w:val="000000"/>
          <w:kern w:val="0"/>
          <w:sz w:val="24"/>
          <w:szCs w:val="20"/>
          <w:highlight w:val="none"/>
          <w:lang w:val="en-US" w:eastAsia="zh-CN"/>
        </w:rPr>
        <w:t>1</w:t>
      </w:r>
      <w:r>
        <w:rPr>
          <w:color w:val="000000"/>
          <w:kern w:val="0"/>
          <w:sz w:val="24"/>
          <w:szCs w:val="20"/>
          <w:highlight w:val="none"/>
        </w:rPr>
        <w:t xml:space="preserve"> </w:t>
      </w:r>
      <w:r>
        <w:rPr>
          <w:rFonts w:hint="eastAsia" w:cs="宋体"/>
          <w:color w:val="000000"/>
          <w:kern w:val="0"/>
          <w:sz w:val="24"/>
          <w:szCs w:val="20"/>
          <w:highlight w:val="none"/>
        </w:rPr>
        <w:t>按照本协议约定</w:t>
      </w:r>
      <w:r>
        <w:rPr>
          <w:rFonts w:hint="eastAsia" w:cs="宋体"/>
          <w:color w:val="000000"/>
          <w:kern w:val="0"/>
          <w:sz w:val="24"/>
          <w:szCs w:val="20"/>
          <w:highlight w:val="none"/>
          <w:lang w:eastAsia="zh-CN"/>
        </w:rPr>
        <w:t>用理财产品资金</w:t>
      </w:r>
      <w:r>
        <w:rPr>
          <w:rFonts w:hint="eastAsia" w:cs="宋体"/>
          <w:color w:val="000000"/>
          <w:kern w:val="0"/>
          <w:sz w:val="24"/>
          <w:szCs w:val="20"/>
          <w:highlight w:val="none"/>
        </w:rPr>
        <w:t>支付乙方托管费；</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2.2.1</w:t>
      </w:r>
      <w:r>
        <w:rPr>
          <w:rFonts w:hint="eastAsia"/>
          <w:color w:val="000000"/>
          <w:kern w:val="0"/>
          <w:sz w:val="24"/>
          <w:szCs w:val="20"/>
          <w:highlight w:val="none"/>
          <w:lang w:val="en-US" w:eastAsia="zh-CN"/>
        </w:rPr>
        <w:t>2</w:t>
      </w:r>
      <w:r>
        <w:rPr>
          <w:rFonts w:hint="eastAsia" w:cs="宋体"/>
          <w:color w:val="000000"/>
          <w:kern w:val="0"/>
          <w:sz w:val="24"/>
          <w:szCs w:val="20"/>
          <w:highlight w:val="none"/>
        </w:rPr>
        <w:t>国家有关法律法规、监管机构规定的其他义务。</w:t>
      </w:r>
    </w:p>
    <w:p>
      <w:pPr>
        <w:pStyle w:val="2"/>
        <w:tabs>
          <w:tab w:val="right" w:leader="dot" w:pos="284"/>
        </w:tabs>
        <w:adjustRightInd w:val="0"/>
        <w:spacing w:before="0" w:beforeLines="0" w:after="0" w:afterLines="0" w:line="420" w:lineRule="exact"/>
        <w:ind w:left="-426" w:leftChars="-203" w:right="424" w:rightChars="202" w:firstLine="568"/>
        <w:jc w:val="center"/>
        <w:textAlignment w:val="auto"/>
        <w:rPr>
          <w:bCs w:val="0"/>
          <w:color w:val="000000"/>
          <w:sz w:val="24"/>
          <w:szCs w:val="20"/>
          <w:highlight w:val="none"/>
        </w:rPr>
      </w:pPr>
      <w:bookmarkStart w:id="7" w:name="_Toc24794"/>
      <w:bookmarkStart w:id="8" w:name="_Toc382240757"/>
      <w:r>
        <w:rPr>
          <w:rFonts w:hint="eastAsia" w:cs="宋体"/>
          <w:bCs w:val="0"/>
          <w:color w:val="000000"/>
          <w:sz w:val="24"/>
          <w:szCs w:val="20"/>
          <w:highlight w:val="none"/>
        </w:rPr>
        <w:t>第三条</w:t>
      </w:r>
      <w:r>
        <w:rPr>
          <w:bCs w:val="0"/>
          <w:color w:val="000000"/>
          <w:sz w:val="24"/>
          <w:szCs w:val="20"/>
          <w:highlight w:val="none"/>
        </w:rPr>
        <w:t xml:space="preserve">  </w:t>
      </w:r>
      <w:r>
        <w:rPr>
          <w:rFonts w:hint="eastAsia" w:cs="宋体"/>
          <w:bCs w:val="0"/>
          <w:color w:val="000000"/>
          <w:sz w:val="24"/>
          <w:szCs w:val="20"/>
          <w:highlight w:val="none"/>
        </w:rPr>
        <w:t>乙方的权利及义务</w:t>
      </w:r>
      <w:bookmarkEnd w:id="7"/>
      <w:bookmarkEnd w:id="8"/>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3.1</w:t>
      </w:r>
      <w:r>
        <w:rPr>
          <w:rFonts w:hint="eastAsia" w:cs="宋体"/>
          <w:color w:val="000000"/>
          <w:kern w:val="0"/>
          <w:sz w:val="24"/>
          <w:szCs w:val="20"/>
          <w:highlight w:val="none"/>
        </w:rPr>
        <w:t>乙方的权利</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3.1.1</w:t>
      </w:r>
      <w:r>
        <w:rPr>
          <w:rFonts w:hint="eastAsia" w:cs="宋体"/>
          <w:color w:val="000000"/>
          <w:kern w:val="0"/>
          <w:sz w:val="24"/>
          <w:szCs w:val="20"/>
          <w:highlight w:val="none"/>
        </w:rPr>
        <w:t>根据本协议约定</w:t>
      </w:r>
      <w:r>
        <w:rPr>
          <w:rFonts w:hint="eastAsia" w:cs="宋体"/>
          <w:color w:val="000000"/>
          <w:kern w:val="0"/>
          <w:sz w:val="24"/>
          <w:szCs w:val="20"/>
          <w:highlight w:val="none"/>
          <w:lang w:eastAsia="zh-CN"/>
        </w:rPr>
        <w:t>及监管规定，</w:t>
      </w:r>
      <w:r>
        <w:rPr>
          <w:rFonts w:hint="eastAsia" w:cs="宋体"/>
          <w:kern w:val="0"/>
          <w:sz w:val="24"/>
          <w:szCs w:val="20"/>
          <w:highlight w:val="none"/>
        </w:rPr>
        <w:t>对</w:t>
      </w:r>
      <w:r>
        <w:rPr>
          <w:rFonts w:hint="eastAsia" w:cs="宋体"/>
          <w:kern w:val="0"/>
          <w:sz w:val="24"/>
          <w:szCs w:val="20"/>
          <w:highlight w:val="none"/>
          <w:lang w:eastAsia="zh-CN"/>
        </w:rPr>
        <w:t>理财产品</w:t>
      </w:r>
      <w:r>
        <w:rPr>
          <w:rFonts w:hint="eastAsia" w:cs="宋体"/>
          <w:color w:val="000000"/>
          <w:kern w:val="0"/>
          <w:sz w:val="24"/>
          <w:szCs w:val="20"/>
          <w:highlight w:val="none"/>
        </w:rPr>
        <w:t>履行保管、监督、清算、核算职能；</w:t>
      </w:r>
    </w:p>
    <w:p>
      <w:pPr>
        <w:tabs>
          <w:tab w:val="right" w:leader="dot" w:pos="284"/>
          <w:tab w:val="left" w:pos="1455"/>
        </w:tabs>
        <w:spacing w:line="420" w:lineRule="exact"/>
        <w:ind w:left="-426" w:leftChars="-203" w:right="424" w:rightChars="202" w:firstLine="568"/>
        <w:rPr>
          <w:color w:val="000000"/>
          <w:sz w:val="24"/>
          <w:szCs w:val="20"/>
          <w:highlight w:val="none"/>
        </w:rPr>
      </w:pPr>
      <w:r>
        <w:rPr>
          <w:color w:val="000000"/>
          <w:kern w:val="0"/>
          <w:sz w:val="24"/>
          <w:szCs w:val="20"/>
          <w:highlight w:val="none"/>
        </w:rPr>
        <w:t>3.1.2</w:t>
      </w:r>
      <w:r>
        <w:rPr>
          <w:rFonts w:hint="eastAsia" w:cs="宋体"/>
          <w:color w:val="000000"/>
          <w:kern w:val="0"/>
          <w:sz w:val="24"/>
          <w:szCs w:val="20"/>
          <w:highlight w:val="none"/>
        </w:rPr>
        <w:t>按照本协议的约定按时、足额收取托管费；</w:t>
      </w:r>
    </w:p>
    <w:p>
      <w:pPr>
        <w:tabs>
          <w:tab w:val="right" w:leader="dot" w:pos="284"/>
          <w:tab w:val="left" w:pos="1455"/>
        </w:tabs>
        <w:spacing w:line="420" w:lineRule="exact"/>
        <w:ind w:left="-426" w:leftChars="-203" w:right="424" w:rightChars="202" w:firstLine="568"/>
        <w:rPr>
          <w:color w:val="000000"/>
          <w:spacing w:val="20"/>
          <w:kern w:val="0"/>
          <w:sz w:val="24"/>
          <w:szCs w:val="20"/>
          <w:highlight w:val="none"/>
        </w:rPr>
      </w:pPr>
      <w:r>
        <w:rPr>
          <w:color w:val="000000"/>
          <w:kern w:val="0"/>
          <w:sz w:val="24"/>
          <w:szCs w:val="20"/>
          <w:highlight w:val="none"/>
        </w:rPr>
        <w:t>3.1.3</w:t>
      </w:r>
      <w:r>
        <w:rPr>
          <w:rFonts w:hint="eastAsia" w:cs="宋体"/>
          <w:color w:val="000000"/>
          <w:kern w:val="0"/>
          <w:sz w:val="24"/>
          <w:szCs w:val="20"/>
          <w:highlight w:val="none"/>
        </w:rPr>
        <w:t>根据本协议的约定，监督甲方的资金运用，如遇有甲方违反法律法规、理财产品说明书、理财协议书、理财产品合同及附件资料和本协议内容时，有权要求甲方限期纠正；当甲方出现重大违规行为，有权及时向监管部门报告；</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color w:val="000000"/>
          <w:kern w:val="0"/>
          <w:sz w:val="24"/>
          <w:szCs w:val="20"/>
          <w:highlight w:val="none"/>
        </w:rPr>
        <w:t>3.1.4</w:t>
      </w:r>
      <w:r>
        <w:rPr>
          <w:rFonts w:hint="eastAsia" w:cs="宋体"/>
          <w:color w:val="000000"/>
          <w:kern w:val="0"/>
          <w:sz w:val="24"/>
          <w:szCs w:val="20"/>
          <w:highlight w:val="none"/>
        </w:rPr>
        <w:t>对于不符合法律法规规定或本协议约定的划款指令，有权拒绝执行；</w:t>
      </w:r>
    </w:p>
    <w:p>
      <w:pPr>
        <w:tabs>
          <w:tab w:val="right" w:leader="dot" w:pos="284"/>
          <w:tab w:val="left" w:pos="1455"/>
        </w:tabs>
        <w:spacing w:line="420" w:lineRule="exact"/>
        <w:ind w:left="-426" w:leftChars="-203" w:right="424" w:rightChars="202" w:firstLine="568"/>
        <w:rPr>
          <w:rFonts w:hint="eastAsia"/>
          <w:color w:val="000000"/>
          <w:kern w:val="0"/>
          <w:sz w:val="24"/>
          <w:szCs w:val="20"/>
          <w:highlight w:val="none"/>
        </w:rPr>
      </w:pPr>
      <w:r>
        <w:rPr>
          <w:rFonts w:hint="eastAsia"/>
          <w:color w:val="000000"/>
          <w:kern w:val="0"/>
          <w:sz w:val="24"/>
          <w:szCs w:val="20"/>
          <w:highlight w:val="none"/>
        </w:rPr>
        <w:t>3.1.5</w:t>
      </w:r>
      <w:r>
        <w:rPr>
          <w:color w:val="000000"/>
          <w:kern w:val="0"/>
          <w:sz w:val="24"/>
          <w:szCs w:val="20"/>
          <w:highlight w:val="none"/>
        </w:rPr>
        <w:t>法</w:t>
      </w:r>
      <w:r>
        <w:rPr>
          <w:rFonts w:hint="eastAsia" w:cs="宋体"/>
          <w:color w:val="000000"/>
          <w:kern w:val="0"/>
          <w:sz w:val="24"/>
          <w:szCs w:val="20"/>
          <w:highlight w:val="none"/>
        </w:rPr>
        <w:t>律法规规定和本协议约定的其他权利。</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 xml:space="preserve">3.2 </w:t>
      </w:r>
      <w:r>
        <w:rPr>
          <w:rFonts w:hint="eastAsia" w:cs="宋体"/>
          <w:color w:val="000000"/>
          <w:kern w:val="0"/>
          <w:sz w:val="24"/>
          <w:szCs w:val="20"/>
          <w:highlight w:val="none"/>
        </w:rPr>
        <w:t>乙方的义务</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3.2.1</w:t>
      </w:r>
      <w:r>
        <w:rPr>
          <w:rFonts w:hint="eastAsia" w:cs="宋体"/>
          <w:color w:val="000000"/>
          <w:kern w:val="0"/>
          <w:sz w:val="24"/>
          <w:szCs w:val="20"/>
          <w:highlight w:val="none"/>
        </w:rPr>
        <w:t>确认与执行理财产品管理运用指令，</w:t>
      </w:r>
      <w:r>
        <w:rPr>
          <w:rFonts w:hint="eastAsia" w:ascii="Times New Roman" w:hAnsi="Times New Roman" w:eastAsia="宋体" w:cs="宋体"/>
          <w:b w:val="0"/>
          <w:i w:val="0"/>
          <w:caps w:val="0"/>
          <w:color w:val="000000"/>
          <w:spacing w:val="0"/>
          <w:kern w:val="0"/>
          <w:sz w:val="24"/>
          <w:szCs w:val="20"/>
          <w:highlight w:val="none"/>
          <w:shd w:val="clear" w:color="auto" w:fill="auto"/>
        </w:rPr>
        <w:t>及时办理清算、交割事宜</w:t>
      </w:r>
      <w:r>
        <w:rPr>
          <w:rFonts w:hint="eastAsia" w:ascii="Times New Roman" w:hAnsi="Times New Roman" w:eastAsia="宋体" w:cs="宋体"/>
          <w:b w:val="0"/>
          <w:i w:val="0"/>
          <w:caps w:val="0"/>
          <w:color w:val="000000"/>
          <w:spacing w:val="0"/>
          <w:kern w:val="0"/>
          <w:sz w:val="24"/>
          <w:szCs w:val="20"/>
          <w:highlight w:val="none"/>
          <w:shd w:val="clear" w:color="auto" w:fill="auto"/>
          <w:lang w:eastAsia="zh-CN"/>
        </w:rPr>
        <w:t>，</w:t>
      </w:r>
      <w:r>
        <w:rPr>
          <w:rFonts w:hint="eastAsia" w:cs="宋体"/>
          <w:color w:val="000000"/>
          <w:kern w:val="0"/>
          <w:sz w:val="24"/>
          <w:szCs w:val="20"/>
          <w:highlight w:val="none"/>
        </w:rPr>
        <w:t>审核、办理理财资金的收付，表面核对理财产品交易记录、资金和财产账目；</w:t>
      </w:r>
      <w:r>
        <w:rPr>
          <w:rFonts w:cs="宋体"/>
          <w:color w:val="000000"/>
          <w:kern w:val="0"/>
          <w:sz w:val="24"/>
          <w:szCs w:val="20"/>
          <w:highlight w:val="none"/>
        </w:rPr>
        <w:t xml:space="preserve"> </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3.2.2</w:t>
      </w:r>
      <w:r>
        <w:rPr>
          <w:rFonts w:hint="eastAsia" w:cs="宋体"/>
          <w:color w:val="000000"/>
          <w:kern w:val="0"/>
          <w:sz w:val="24"/>
          <w:szCs w:val="20"/>
          <w:highlight w:val="none"/>
        </w:rPr>
        <w:t>对所托管的理财产品设置独立的登记账簿，确保理财产品资金的独立与安全；</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3.2.3</w:t>
      </w:r>
      <w:r>
        <w:rPr>
          <w:rFonts w:hint="eastAsia" w:cs="宋体"/>
          <w:color w:val="000000"/>
          <w:kern w:val="0"/>
          <w:sz w:val="24"/>
          <w:szCs w:val="20"/>
          <w:highlight w:val="none"/>
        </w:rPr>
        <w:t>乙方不得将理财资金转由第三人进行托管或违反国家法律法规和本协议约定擅自动用或处分理财资金；</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3.2.4</w:t>
      </w:r>
      <w:r>
        <w:rPr>
          <w:rFonts w:hint="eastAsia" w:cs="宋体"/>
          <w:color w:val="000000"/>
          <w:kern w:val="0"/>
          <w:sz w:val="24"/>
          <w:szCs w:val="20"/>
          <w:highlight w:val="none"/>
        </w:rPr>
        <w:t>因乙方违反本协议</w:t>
      </w:r>
      <w:r>
        <w:rPr>
          <w:rFonts w:cs="宋体"/>
          <w:color w:val="000000"/>
          <w:kern w:val="0"/>
          <w:sz w:val="24"/>
          <w:szCs w:val="20"/>
          <w:highlight w:val="none"/>
        </w:rPr>
        <w:t>3.2.3</w:t>
      </w:r>
      <w:r>
        <w:rPr>
          <w:rFonts w:hint="eastAsia" w:cs="宋体"/>
          <w:color w:val="000000"/>
          <w:kern w:val="0"/>
          <w:sz w:val="24"/>
          <w:szCs w:val="20"/>
          <w:highlight w:val="none"/>
        </w:rPr>
        <w:t>款内容，导致理财资金以违反有关法律法规、本协议等文件约定的方式被提取、挪用或用于质押等，乙方应将被提取、挪用或用于质押的银行理财资金及时归还。</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3.2.5</w:t>
      </w:r>
      <w:r>
        <w:rPr>
          <w:rFonts w:hint="eastAsia" w:cs="宋体"/>
          <w:color w:val="000000"/>
          <w:kern w:val="0"/>
          <w:sz w:val="24"/>
          <w:szCs w:val="20"/>
          <w:highlight w:val="none"/>
        </w:rPr>
        <w:t>记录资金划拨情况，保存甲方的资金用途说明；</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color w:val="000000"/>
          <w:kern w:val="0"/>
          <w:sz w:val="24"/>
          <w:szCs w:val="20"/>
          <w:highlight w:val="none"/>
        </w:rPr>
        <w:t>3.2.6</w:t>
      </w:r>
      <w:r>
        <w:rPr>
          <w:rFonts w:hint="eastAsia" w:cs="宋体"/>
          <w:color w:val="000000"/>
          <w:kern w:val="0"/>
          <w:sz w:val="24"/>
          <w:szCs w:val="20"/>
          <w:highlight w:val="none"/>
        </w:rPr>
        <w:t>向甲方出具</w:t>
      </w:r>
      <w:r>
        <w:rPr>
          <w:rFonts w:hint="eastAsia" w:ascii="宋体" w:hAnsi="宋体" w:cs="宋体"/>
          <w:color w:val="000000"/>
          <w:kern w:val="0"/>
          <w:sz w:val="24"/>
          <w:szCs w:val="20"/>
          <w:highlight w:val="none"/>
        </w:rPr>
        <w:t>理财产品托管报告</w:t>
      </w:r>
      <w:r>
        <w:rPr>
          <w:rFonts w:hint="eastAsia" w:cs="宋体"/>
          <w:color w:val="000000"/>
          <w:kern w:val="0"/>
          <w:sz w:val="24"/>
          <w:szCs w:val="20"/>
          <w:highlight w:val="none"/>
        </w:rPr>
        <w:t>；</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rFonts w:hint="eastAsia" w:cs="宋体"/>
          <w:b w:val="0"/>
          <w:i w:val="0"/>
          <w:caps w:val="0"/>
          <w:color w:val="000000"/>
          <w:spacing w:val="0"/>
          <w:kern w:val="0"/>
          <w:sz w:val="24"/>
          <w:szCs w:val="20"/>
          <w:highlight w:val="none"/>
          <w:lang w:eastAsia="zh-CN"/>
        </w:rPr>
        <w:t>3</w:t>
      </w:r>
      <w:r>
        <w:rPr>
          <w:rFonts w:hint="eastAsia" w:cs="宋体"/>
          <w:b w:val="0"/>
          <w:i w:val="0"/>
          <w:caps w:val="0"/>
          <w:color w:val="000000"/>
          <w:spacing w:val="0"/>
          <w:kern w:val="0"/>
          <w:sz w:val="24"/>
          <w:szCs w:val="20"/>
          <w:highlight w:val="none"/>
          <w:lang w:val="en-US" w:eastAsia="zh-CN"/>
        </w:rPr>
        <w:t>.2.7</w:t>
      </w:r>
      <w:r>
        <w:rPr>
          <w:rFonts w:hint="eastAsia" w:cs="宋体"/>
          <w:color w:val="000000"/>
          <w:kern w:val="0"/>
          <w:sz w:val="24"/>
          <w:szCs w:val="20"/>
          <w:highlight w:val="none"/>
        </w:rPr>
        <w:t>法律、法规和本协议约定的其他义务。</w:t>
      </w:r>
    </w:p>
    <w:p>
      <w:pPr>
        <w:pStyle w:val="2"/>
        <w:tabs>
          <w:tab w:val="right" w:leader="dot" w:pos="284"/>
        </w:tabs>
        <w:adjustRightInd w:val="0"/>
        <w:spacing w:before="0" w:beforeLines="0" w:after="0" w:afterLines="0" w:line="420" w:lineRule="exact"/>
        <w:ind w:left="-426" w:leftChars="-203" w:right="424" w:rightChars="202" w:firstLine="568"/>
        <w:jc w:val="center"/>
        <w:textAlignment w:val="auto"/>
        <w:rPr>
          <w:rFonts w:cs="宋体"/>
          <w:bCs w:val="0"/>
          <w:color w:val="000000"/>
          <w:sz w:val="24"/>
          <w:szCs w:val="20"/>
          <w:highlight w:val="none"/>
        </w:rPr>
      </w:pPr>
      <w:bookmarkStart w:id="9" w:name="_Toc382240758"/>
      <w:bookmarkStart w:id="10" w:name="_Toc8184"/>
      <w:r>
        <w:rPr>
          <w:rFonts w:hint="eastAsia" w:cs="宋体"/>
          <w:bCs w:val="0"/>
          <w:color w:val="000000"/>
          <w:sz w:val="24"/>
          <w:szCs w:val="20"/>
          <w:highlight w:val="none"/>
        </w:rPr>
        <w:t>第四条</w:t>
      </w:r>
      <w:r>
        <w:rPr>
          <w:rFonts w:cs="宋体"/>
          <w:bCs w:val="0"/>
          <w:color w:val="000000"/>
          <w:sz w:val="24"/>
          <w:szCs w:val="20"/>
          <w:highlight w:val="none"/>
        </w:rPr>
        <w:t xml:space="preserve"> </w:t>
      </w:r>
      <w:r>
        <w:rPr>
          <w:rFonts w:hint="eastAsia"/>
          <w:bCs w:val="0"/>
          <w:color w:val="000000"/>
          <w:sz w:val="24"/>
          <w:szCs w:val="20"/>
          <w:highlight w:val="none"/>
        </w:rPr>
        <w:t xml:space="preserve"> </w:t>
      </w:r>
      <w:r>
        <w:rPr>
          <w:rFonts w:hint="eastAsia" w:cs="宋体"/>
          <w:bCs w:val="0"/>
          <w:color w:val="000000"/>
          <w:sz w:val="24"/>
          <w:szCs w:val="20"/>
          <w:highlight w:val="none"/>
        </w:rPr>
        <w:t>托管专户的开立及管理</w:t>
      </w:r>
      <w:bookmarkEnd w:id="9"/>
      <w:bookmarkEnd w:id="10"/>
    </w:p>
    <w:p>
      <w:pPr>
        <w:tabs>
          <w:tab w:val="right" w:leader="dot" w:pos="284"/>
          <w:tab w:val="left" w:pos="1455"/>
        </w:tabs>
        <w:spacing w:line="420" w:lineRule="exact"/>
        <w:ind w:left="-426" w:leftChars="-203" w:right="424" w:rightChars="202" w:firstLine="568"/>
        <w:rPr>
          <w:color w:val="000000"/>
          <w:kern w:val="0"/>
          <w:sz w:val="24"/>
          <w:szCs w:val="20"/>
          <w:highlight w:val="none"/>
        </w:rPr>
      </w:pPr>
      <w:r>
        <w:rPr>
          <w:color w:val="000000"/>
          <w:kern w:val="0"/>
          <w:sz w:val="24"/>
          <w:szCs w:val="20"/>
          <w:highlight w:val="none"/>
        </w:rPr>
        <w:t>4.1</w:t>
      </w:r>
      <w:r>
        <w:rPr>
          <w:rFonts w:hint="eastAsia" w:cs="宋体"/>
          <w:color w:val="000000"/>
          <w:kern w:val="0"/>
          <w:sz w:val="24"/>
          <w:szCs w:val="20"/>
          <w:highlight w:val="none"/>
        </w:rPr>
        <w:t>乙方负责为理财资金单独设置托管专户，并进行独立核算。该账户预留印鉴由乙方负责保管和使用。</w:t>
      </w:r>
      <w:r>
        <w:rPr>
          <w:rFonts w:hint="eastAsia" w:cs="宋体"/>
          <w:kern w:val="0"/>
          <w:sz w:val="24"/>
          <w:szCs w:val="20"/>
          <w:highlight w:val="none"/>
        </w:rPr>
        <w:t>具体开立的账户名称以甲方出具的授权委托书描述为准</w:t>
      </w:r>
      <w:r>
        <w:rPr>
          <w:rFonts w:hint="eastAsia" w:cs="宋体"/>
          <w:kern w:val="0"/>
          <w:sz w:val="24"/>
          <w:szCs w:val="20"/>
          <w:highlight w:val="none"/>
          <w:lang w:eastAsia="zh-CN"/>
        </w:rPr>
        <w:t>。</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4.2</w:t>
      </w:r>
      <w:r>
        <w:rPr>
          <w:rFonts w:hint="eastAsia" w:cs="宋体"/>
          <w:color w:val="000000"/>
          <w:kern w:val="0"/>
          <w:sz w:val="24"/>
          <w:szCs w:val="20"/>
          <w:highlight w:val="none"/>
        </w:rPr>
        <w:t xml:space="preserve"> 托管专户在办理开户手续时签订的合同文本、开户资料原件以及预留银行印鉴卡原件等乙方要求提供的材料，在该理财产品持续期内由乙方保管、使用，甲方应协助乙方对托管专户进行管理和使用。</w:t>
      </w:r>
      <w:r>
        <w:rPr>
          <w:rFonts w:hint="eastAsia" w:cs="仿宋_GB2312"/>
          <w:sz w:val="24"/>
          <w:szCs w:val="24"/>
          <w:highlight w:val="none"/>
        </w:rPr>
        <w:t>甲方应依法履行受益所有人识别义务，在开立托管账户时按照开户银行要求，就相关信息的提供、核实等提供必要的协助，并确保所提供信息以及证明材料的真实性、准确性。</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4.3</w:t>
      </w:r>
      <w:r>
        <w:rPr>
          <w:rFonts w:hint="eastAsia" w:cs="宋体"/>
          <w:kern w:val="0"/>
          <w:sz w:val="24"/>
          <w:szCs w:val="20"/>
          <w:highlight w:val="none"/>
        </w:rPr>
        <w:t>理财产品发行前，甲方向乙方递交开户授权文件（格式见附件一），乙方需按照规定及时开立托管专户，托管专户信息由乙方向甲方书面反馈。</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4.4</w:t>
      </w:r>
      <w:r>
        <w:rPr>
          <w:rFonts w:hint="eastAsia" w:cs="宋体"/>
          <w:color w:val="000000"/>
          <w:kern w:val="0"/>
          <w:sz w:val="24"/>
          <w:szCs w:val="20"/>
          <w:highlight w:val="none"/>
        </w:rPr>
        <w:t>（每期）理财产品认购期结束后，甲方负责将（每期）理财资金全部划至托管专户,同日甲方应向乙方发送（每期）理财产品成立并投资划款的书面通知。乙方核对托管专户内全部资金无误后，于资金全部到账之日起，根据本协议的约定履行托管职责。托管专户执行利率按照开户银行的通知执行。理财产品分期发行的，自首期理财资金全部到账之日起，乙方根据本协议的约定履行托管职责。</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4.5 </w:t>
      </w:r>
      <w:r>
        <w:rPr>
          <w:rFonts w:hint="eastAsia" w:cs="宋体"/>
          <w:color w:val="000000"/>
          <w:kern w:val="0"/>
          <w:sz w:val="24"/>
          <w:szCs w:val="20"/>
          <w:highlight w:val="none"/>
        </w:rPr>
        <w:t>托管专户的开立和使用，限于满足开展理财产品业务的需要。甲方、乙方均不得假借托管专户进行理财产品业务以外的活动，亦不得使用本账户进行理财产品项下业务范围以外的活动。</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理财产品存续期间的一切资金收支活动（包括但不限于银行存款结息、投资划款、支付费用、投资到期资金回收等）均需通过托管专户进行。</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托管专户不得提现，不得通兑，不得透支。托管人可以根据管理人申请，为其开通托管专户网上银行查询功能。</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4.6</w:t>
      </w:r>
      <w:r>
        <w:rPr>
          <w:rFonts w:hint="eastAsia" w:cs="宋体"/>
          <w:color w:val="000000"/>
          <w:kern w:val="0"/>
          <w:sz w:val="24"/>
          <w:szCs w:val="20"/>
          <w:highlight w:val="none"/>
        </w:rPr>
        <w:t>理财专用证券账户的开设与管理（如有）</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乙方应以理财产品分别在中国证券登记结算有限责任公司上海、深圳分公司开设证券账户，账户名称以实际开立时为准，用于理财财产投资于场内交易证券品种所发生的交割和存管。</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在本理财存续期内，理财专用证券账户卡原件应交由乙方保管。</w:t>
      </w:r>
    </w:p>
    <w:p>
      <w:pPr>
        <w:tabs>
          <w:tab w:val="right" w:leader="dot" w:pos="284"/>
          <w:tab w:val="left" w:pos="1455"/>
        </w:tabs>
        <w:spacing w:line="420" w:lineRule="atLeas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4.7 </w:t>
      </w:r>
      <w:r>
        <w:rPr>
          <w:rFonts w:hint="eastAsia" w:cs="宋体"/>
          <w:color w:val="000000"/>
          <w:kern w:val="0"/>
          <w:sz w:val="24"/>
          <w:szCs w:val="20"/>
          <w:highlight w:val="none"/>
        </w:rPr>
        <w:t>理财专用证券资金账户的开设与管理</w:t>
      </w:r>
      <w:r>
        <w:rPr>
          <w:rFonts w:hint="eastAsia" w:cs="宋体"/>
          <w:kern w:val="0"/>
          <w:sz w:val="24"/>
          <w:szCs w:val="20"/>
          <w:highlight w:val="none"/>
        </w:rPr>
        <w:t>（如有）</w:t>
      </w:r>
    </w:p>
    <w:p>
      <w:pPr>
        <w:tabs>
          <w:tab w:val="right" w:leader="dot" w:pos="284"/>
          <w:tab w:val="left" w:pos="1455"/>
        </w:tabs>
        <w:spacing w:line="420" w:lineRule="atLeas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甲方应以理财产品在证券经纪商处开设理财专用证券资金账户，账户名称以实际开立时为准。</w:t>
      </w:r>
    </w:p>
    <w:p>
      <w:pPr>
        <w:tabs>
          <w:tab w:val="right" w:leader="dot" w:pos="284"/>
          <w:tab w:val="left" w:pos="1455"/>
        </w:tabs>
        <w:spacing w:line="420" w:lineRule="atLeas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4.8债券托管专户的开设和管理</w:t>
      </w:r>
      <w:r>
        <w:rPr>
          <w:rFonts w:hint="eastAsia" w:cs="宋体"/>
          <w:kern w:val="0"/>
          <w:sz w:val="24"/>
          <w:szCs w:val="20"/>
          <w:highlight w:val="none"/>
        </w:rPr>
        <w:t>（如有）</w:t>
      </w:r>
    </w:p>
    <w:p>
      <w:pPr>
        <w:tabs>
          <w:tab w:val="right" w:leader="dot" w:pos="284"/>
          <w:tab w:val="right" w:leader="dot" w:pos="8222"/>
        </w:tabs>
        <w:adjustRightInd w:val="0"/>
        <w:snapToGrid w:val="0"/>
        <w:spacing w:line="420" w:lineRule="atLeast"/>
        <w:ind w:left="-426" w:leftChars="-203" w:right="424" w:rightChars="202" w:firstLine="568"/>
        <w:rPr>
          <w:rFonts w:cs="宋体"/>
          <w:color w:val="000000"/>
          <w:kern w:val="0"/>
          <w:sz w:val="24"/>
          <w:szCs w:val="20"/>
          <w:highlight w:val="none"/>
        </w:rPr>
      </w:pPr>
      <w:r>
        <w:rPr>
          <w:rFonts w:hint="eastAsia"/>
          <w:color w:val="000000"/>
          <w:sz w:val="24"/>
          <w:szCs w:val="24"/>
          <w:highlight w:val="none"/>
        </w:rPr>
        <w:t xml:space="preserve">甲方和乙方相互配合，根据中国人民银行及中央国债登记结算有限责任公司、银行间市场清算所股份有限公司的有关规定，在债券登记结算机构开立债券托管专户，并代表本理财计划进行银行间市场债券的结算。 </w:t>
      </w:r>
    </w:p>
    <w:p>
      <w:pPr>
        <w:tabs>
          <w:tab w:val="right" w:leader="dot" w:pos="284"/>
          <w:tab w:val="left" w:pos="1455"/>
        </w:tabs>
        <w:spacing w:line="420" w:lineRule="atLeast"/>
        <w:ind w:left="-426" w:leftChars="-203" w:right="424" w:rightChars="202" w:firstLine="568"/>
        <w:rPr>
          <w:color w:val="000000"/>
          <w:kern w:val="0"/>
          <w:sz w:val="24"/>
          <w:szCs w:val="20"/>
          <w:highlight w:val="none"/>
        </w:rPr>
      </w:pPr>
      <w:r>
        <w:rPr>
          <w:color w:val="000000"/>
          <w:kern w:val="0"/>
          <w:sz w:val="24"/>
          <w:szCs w:val="20"/>
          <w:highlight w:val="none"/>
        </w:rPr>
        <w:t>4.</w:t>
      </w:r>
      <w:r>
        <w:rPr>
          <w:rFonts w:hint="eastAsia"/>
          <w:color w:val="000000"/>
          <w:kern w:val="0"/>
          <w:sz w:val="24"/>
          <w:szCs w:val="20"/>
          <w:highlight w:val="none"/>
        </w:rPr>
        <w:t>9</w:t>
      </w:r>
      <w:r>
        <w:rPr>
          <w:color w:val="000000"/>
          <w:kern w:val="0"/>
          <w:sz w:val="24"/>
          <w:szCs w:val="20"/>
          <w:highlight w:val="none"/>
        </w:rPr>
        <w:t xml:space="preserve"> </w:t>
      </w:r>
      <w:r>
        <w:rPr>
          <w:rFonts w:hint="eastAsia"/>
          <w:color w:val="000000"/>
          <w:kern w:val="0"/>
          <w:sz w:val="24"/>
          <w:szCs w:val="20"/>
          <w:highlight w:val="none"/>
        </w:rPr>
        <w:t>理财财产专户的核对</w:t>
      </w:r>
    </w:p>
    <w:p>
      <w:pPr>
        <w:tabs>
          <w:tab w:val="right" w:leader="dot" w:pos="284"/>
          <w:tab w:val="left" w:pos="1455"/>
        </w:tabs>
        <w:spacing w:line="420" w:lineRule="atLeast"/>
        <w:ind w:left="-426" w:leftChars="-203" w:right="424" w:rightChars="202" w:firstLine="568"/>
        <w:rPr>
          <w:rFonts w:hint="eastAsia"/>
          <w:color w:val="000000"/>
          <w:kern w:val="0"/>
          <w:sz w:val="24"/>
          <w:szCs w:val="20"/>
          <w:highlight w:val="none"/>
        </w:rPr>
      </w:pPr>
      <w:r>
        <w:rPr>
          <w:rFonts w:hint="eastAsia"/>
          <w:color w:val="000000"/>
          <w:kern w:val="0"/>
          <w:sz w:val="24"/>
          <w:szCs w:val="20"/>
          <w:highlight w:val="none"/>
        </w:rPr>
        <w:t>甲乙双方应分别登记理财产品项下理财财产专户的银行存款日记账。分别记录资金划拨情况，按本协议相关规定，逐笔核对资金变动情况，确保资金变动记录及结果与开户银行记录及余额相符。</w:t>
      </w:r>
    </w:p>
    <w:p>
      <w:pPr>
        <w:tabs>
          <w:tab w:val="left" w:pos="1455"/>
          <w:tab w:val="left" w:pos="8647"/>
        </w:tabs>
        <w:spacing w:line="420" w:lineRule="exact"/>
        <w:ind w:right="592" w:rightChars="282"/>
        <w:rPr>
          <w:rFonts w:hint="eastAsia"/>
          <w:kern w:val="0"/>
          <w:sz w:val="24"/>
          <w:szCs w:val="24"/>
          <w:highlight w:val="none"/>
        </w:rPr>
      </w:pPr>
      <w:r>
        <w:rPr>
          <w:rFonts w:hint="eastAsia"/>
          <w:kern w:val="0"/>
          <w:sz w:val="24"/>
          <w:szCs w:val="24"/>
          <w:highlight w:val="none"/>
        </w:rPr>
        <w:t>4.</w:t>
      </w:r>
      <w:r>
        <w:rPr>
          <w:rFonts w:hint="eastAsia"/>
          <w:kern w:val="0"/>
          <w:sz w:val="24"/>
          <w:szCs w:val="24"/>
          <w:highlight w:val="none"/>
          <w:lang w:val="en-US" w:eastAsia="zh-CN"/>
        </w:rPr>
        <w:t>10</w:t>
      </w:r>
      <w:r>
        <w:rPr>
          <w:rFonts w:hint="eastAsia"/>
          <w:kern w:val="0"/>
          <w:sz w:val="24"/>
          <w:szCs w:val="24"/>
          <w:highlight w:val="none"/>
        </w:rPr>
        <w:t>定期存款账户的开设与管理</w:t>
      </w:r>
    </w:p>
    <w:p>
      <w:pPr>
        <w:tabs>
          <w:tab w:val="right" w:leader="dot" w:pos="284"/>
          <w:tab w:val="left" w:pos="1455"/>
        </w:tabs>
        <w:spacing w:line="420" w:lineRule="atLeast"/>
        <w:ind w:left="-426" w:leftChars="-203" w:right="424" w:rightChars="202" w:firstLine="568"/>
        <w:rPr>
          <w:rFonts w:hint="eastAsia"/>
          <w:color w:val="000000"/>
          <w:kern w:val="0"/>
          <w:sz w:val="24"/>
          <w:szCs w:val="20"/>
          <w:highlight w:val="none"/>
        </w:rPr>
      </w:pPr>
      <w:r>
        <w:rPr>
          <w:rFonts w:hint="eastAsia"/>
          <w:kern w:val="0"/>
          <w:sz w:val="24"/>
          <w:szCs w:val="20"/>
          <w:highlight w:val="none"/>
        </w:rPr>
        <w:t>委托财产投资定期存款在存款机构开立的银行账户，包括实体或虚拟账户。定期存款账户户名应与托管专户保持一致,该账户预留印鉴经与托管人商议后预留。管理人应该在合理的时间内进行定期存款的投资和支取事宜。对于任何的定期存款投资，管理人都必须和存款机构签订定期存款协议，协议内容应至少包含起息日、到期日、存款金额、存款账户、存款利率、存款是否可以提前支取、定存到期支取账户、存款证实书如何交接以及存款证实书不得转让质押等条款。协议须约定托管人经办行名称、地址和账户，并将本计划资金账户指定为唯一回款账户，协议中涉及托管人相关职责的约定须由管理人和托管人双方协商一致后签署。</w:t>
      </w:r>
    </w:p>
    <w:p>
      <w:pPr>
        <w:tabs>
          <w:tab w:val="right" w:leader="dot" w:pos="284"/>
          <w:tab w:val="left" w:pos="1455"/>
        </w:tabs>
        <w:spacing w:line="420" w:lineRule="atLeast"/>
        <w:ind w:left="-426" w:leftChars="-203" w:right="424" w:rightChars="202" w:firstLine="568"/>
        <w:rPr>
          <w:rFonts w:hint="eastAsia" w:eastAsia="宋体"/>
          <w:color w:val="000000"/>
          <w:kern w:val="0"/>
          <w:sz w:val="24"/>
          <w:szCs w:val="20"/>
          <w:highlight w:val="none"/>
          <w:lang w:val="en-US" w:eastAsia="zh-CN"/>
        </w:rPr>
      </w:pPr>
      <w:bookmarkStart w:id="11" w:name="_Toc15234"/>
      <w:bookmarkStart w:id="12" w:name="_Toc382240759"/>
      <w:r>
        <w:rPr>
          <w:rFonts w:hint="eastAsia"/>
          <w:color w:val="000000"/>
          <w:kern w:val="0"/>
          <w:sz w:val="24"/>
          <w:szCs w:val="20"/>
          <w:highlight w:val="none"/>
          <w:lang w:val="en-US" w:eastAsia="zh-CN"/>
        </w:rPr>
        <w:t xml:space="preserve">4.11 </w:t>
      </w:r>
      <w:r>
        <w:rPr>
          <w:rFonts w:hint="eastAsia" w:ascii="宋体" w:hAnsi="Times New Roman" w:eastAsia="宋体" w:cs="Times New Roman"/>
          <w:color w:val="000000"/>
          <w:sz w:val="24"/>
          <w:szCs w:val="20"/>
          <w:highlight w:val="none"/>
          <w:lang w:val="en-US" w:eastAsia="zh-CN" w:bidi="ar"/>
        </w:rPr>
        <w:t>甲方有权要求乙方提供所有开立账户的交易流水及相关凭证（如交易流水及相关凭证保管方为乙方）。</w:t>
      </w:r>
    </w:p>
    <w:p>
      <w:pPr>
        <w:pStyle w:val="2"/>
        <w:tabs>
          <w:tab w:val="right" w:leader="dot" w:pos="284"/>
        </w:tabs>
        <w:adjustRightInd w:val="0"/>
        <w:spacing w:before="0" w:beforeLines="0" w:after="0" w:afterLines="0" w:line="420" w:lineRule="exact"/>
        <w:ind w:left="-426" w:leftChars="-203" w:right="424" w:rightChars="202" w:firstLine="568"/>
        <w:jc w:val="center"/>
        <w:textAlignment w:val="auto"/>
        <w:rPr>
          <w:rFonts w:cs="宋体"/>
          <w:bCs w:val="0"/>
          <w:color w:val="000000"/>
          <w:sz w:val="24"/>
          <w:szCs w:val="20"/>
          <w:highlight w:val="none"/>
        </w:rPr>
      </w:pPr>
      <w:r>
        <w:rPr>
          <w:rFonts w:hint="eastAsia" w:cs="宋体"/>
          <w:bCs w:val="0"/>
          <w:color w:val="000000"/>
          <w:sz w:val="24"/>
          <w:szCs w:val="20"/>
          <w:highlight w:val="none"/>
        </w:rPr>
        <w:t>第五条</w:t>
      </w:r>
      <w:r>
        <w:rPr>
          <w:rFonts w:cs="宋体"/>
          <w:bCs w:val="0"/>
          <w:color w:val="000000"/>
          <w:sz w:val="24"/>
          <w:szCs w:val="20"/>
          <w:highlight w:val="none"/>
        </w:rPr>
        <w:t xml:space="preserve"> </w:t>
      </w:r>
      <w:r>
        <w:rPr>
          <w:rFonts w:hint="eastAsia"/>
          <w:bCs w:val="0"/>
          <w:color w:val="000000"/>
          <w:sz w:val="24"/>
          <w:szCs w:val="20"/>
          <w:highlight w:val="none"/>
        </w:rPr>
        <w:t xml:space="preserve"> </w:t>
      </w:r>
      <w:r>
        <w:rPr>
          <w:rFonts w:hint="eastAsia" w:cs="宋体"/>
          <w:bCs w:val="0"/>
          <w:color w:val="000000"/>
          <w:sz w:val="24"/>
          <w:szCs w:val="20"/>
          <w:highlight w:val="none"/>
        </w:rPr>
        <w:t>划款指令的发送、确认与执行</w:t>
      </w:r>
      <w:bookmarkEnd w:id="11"/>
      <w:bookmarkEnd w:id="12"/>
      <w:r>
        <w:rPr>
          <w:rFonts w:cs="宋体"/>
          <w:bCs w:val="0"/>
          <w:color w:val="000000"/>
          <w:sz w:val="24"/>
          <w:szCs w:val="20"/>
          <w:highlight w:val="none"/>
        </w:rPr>
        <w:t xml:space="preserve"> </w:t>
      </w:r>
    </w:p>
    <w:p>
      <w:pPr>
        <w:tabs>
          <w:tab w:val="right" w:leader="dot" w:pos="284"/>
          <w:tab w:val="left" w:pos="1455"/>
        </w:tabs>
        <w:spacing w:line="420" w:lineRule="exact"/>
        <w:ind w:left="-426" w:leftChars="-203" w:right="424" w:rightChars="202" w:firstLine="568"/>
        <w:rPr>
          <w:color w:val="000000"/>
          <w:sz w:val="24"/>
          <w:szCs w:val="20"/>
          <w:highlight w:val="none"/>
        </w:rPr>
      </w:pPr>
      <w:bookmarkStart w:id="13" w:name="_Toc372290934"/>
      <w:bookmarkStart w:id="14" w:name="_Toc382240760"/>
      <w:bookmarkStart w:id="15" w:name="_Toc30887"/>
      <w:r>
        <w:rPr>
          <w:color w:val="000000"/>
          <w:kern w:val="0"/>
          <w:sz w:val="24"/>
          <w:szCs w:val="20"/>
          <w:highlight w:val="none"/>
        </w:rPr>
        <w:t xml:space="preserve">5.1 </w:t>
      </w:r>
      <w:r>
        <w:rPr>
          <w:rFonts w:hint="eastAsia" w:cs="宋体"/>
          <w:color w:val="000000"/>
          <w:sz w:val="24"/>
          <w:szCs w:val="20"/>
          <w:highlight w:val="none"/>
        </w:rPr>
        <w:t>划款指令的发送</w:t>
      </w:r>
    </w:p>
    <w:p>
      <w:pPr>
        <w:tabs>
          <w:tab w:val="left" w:pos="993"/>
          <w:tab w:val="left" w:pos="8647"/>
        </w:tabs>
        <w:snapToGrid w:val="0"/>
        <w:spacing w:line="420" w:lineRule="exact"/>
        <w:ind w:left="0" w:leftChars="0" w:right="592" w:rightChars="282" w:firstLine="484" w:firstLineChars="202"/>
        <w:rPr>
          <w:rFonts w:hint="eastAsia" w:cs="宋体"/>
          <w:color w:val="000000"/>
          <w:sz w:val="24"/>
          <w:szCs w:val="20"/>
          <w:highlight w:val="none"/>
        </w:rPr>
      </w:pPr>
      <w:r>
        <w:rPr>
          <w:rFonts w:hint="eastAsia" w:cs="宋体"/>
          <w:color w:val="000000"/>
          <w:sz w:val="24"/>
          <w:szCs w:val="20"/>
          <w:highlight w:val="none"/>
        </w:rPr>
        <w:t>划款指令的发送需由甲方有权发送指令人员操作，采用双方协商一致的方式传递信息。甲方应在产品起息</w:t>
      </w:r>
      <w:r>
        <w:rPr>
          <w:rFonts w:cs="宋体"/>
          <w:color w:val="000000"/>
          <w:kern w:val="0"/>
          <w:sz w:val="24"/>
          <w:szCs w:val="20"/>
          <w:highlight w:val="none"/>
          <w:shd w:val="clear" w:color="FFFFFF" w:fill="D9D9D9"/>
        </w:rPr>
        <w:fldChar w:fldCharType="begin">
          <w:ffData>
            <w:enabled/>
            <w:calcOnExit w:val="0"/>
            <w:textInput/>
          </w:ffData>
        </w:fldChar>
      </w:r>
      <w:r>
        <w:rPr>
          <w:rFonts w:cs="宋体"/>
          <w:color w:val="000000"/>
          <w:kern w:val="0"/>
          <w:sz w:val="24"/>
          <w:szCs w:val="20"/>
          <w:highlight w:val="none"/>
          <w:shd w:val="clear" w:color="FFFFFF" w:fill="D9D9D9"/>
        </w:rPr>
        <w:instrText xml:space="preserve">FORMTEXT</w:instrText>
      </w:r>
      <w:r>
        <w:rPr>
          <w:rFonts w:cs="宋体"/>
          <w:color w:val="000000"/>
          <w:kern w:val="0"/>
          <w:sz w:val="24"/>
          <w:szCs w:val="20"/>
          <w:highlight w:val="none"/>
          <w:shd w:val="clear" w:color="FFFFFF" w:fill="D9D9D9"/>
        </w:rPr>
        <w:fldChar w:fldCharType="separate"/>
      </w:r>
      <w:r>
        <w:rPr>
          <w:rFonts w:hint="eastAsia" w:cs="宋体"/>
          <w:color w:val="000000"/>
          <w:kern w:val="0"/>
          <w:sz w:val="24"/>
          <w:szCs w:val="20"/>
          <w:highlight w:val="none"/>
          <w:shd w:val="clear" w:color="FFFFFF" w:fill="D9D9D9"/>
        </w:rPr>
        <w:t>当日中午12：00</w:t>
      </w:r>
      <w:r>
        <w:rPr>
          <w:rFonts w:cs="宋体"/>
          <w:color w:val="000000"/>
          <w:kern w:val="0"/>
          <w:sz w:val="24"/>
          <w:szCs w:val="20"/>
          <w:highlight w:val="none"/>
          <w:shd w:val="clear" w:color="FFFFFF" w:fill="D9D9D9"/>
        </w:rPr>
        <w:fldChar w:fldCharType="end"/>
      </w:r>
      <w:r>
        <w:rPr>
          <w:rFonts w:hint="eastAsia" w:cs="宋体"/>
          <w:color w:val="000000"/>
          <w:sz w:val="24"/>
          <w:szCs w:val="20"/>
          <w:highlight w:val="none"/>
        </w:rPr>
        <w:t>前</w:t>
      </w:r>
      <w:r>
        <w:rPr>
          <w:rFonts w:hint="eastAsia" w:cs="宋体"/>
          <w:color w:val="000000"/>
          <w:sz w:val="24"/>
          <w:szCs w:val="20"/>
          <w:highlight w:val="none"/>
          <w:lang w:eastAsia="zh-CN"/>
        </w:rPr>
        <w:t>以电子邮件的方式</w:t>
      </w:r>
      <w:r>
        <w:rPr>
          <w:rFonts w:hint="eastAsia" w:cs="宋体"/>
          <w:color w:val="000000"/>
          <w:sz w:val="24"/>
          <w:szCs w:val="20"/>
          <w:highlight w:val="none"/>
        </w:rPr>
        <w:t>向乙方发送资金划款指令（划款指令格式详见本协议附件二），并保证将产品募集资金在划款</w:t>
      </w:r>
      <w:r>
        <w:rPr>
          <w:rFonts w:cs="宋体"/>
          <w:color w:val="000000"/>
          <w:kern w:val="0"/>
          <w:sz w:val="24"/>
          <w:szCs w:val="20"/>
          <w:highlight w:val="none"/>
          <w:shd w:val="clear" w:color="FFFFFF" w:fill="D9D9D9"/>
        </w:rPr>
        <w:fldChar w:fldCharType="begin">
          <w:ffData>
            <w:enabled/>
            <w:calcOnExit w:val="0"/>
            <w:textInput/>
          </w:ffData>
        </w:fldChar>
      </w:r>
      <w:r>
        <w:rPr>
          <w:rFonts w:cs="宋体"/>
          <w:color w:val="000000"/>
          <w:kern w:val="0"/>
          <w:sz w:val="24"/>
          <w:szCs w:val="20"/>
          <w:highlight w:val="none"/>
          <w:shd w:val="clear" w:color="FFFFFF" w:fill="D9D9D9"/>
        </w:rPr>
        <w:instrText xml:space="preserve">FORMTEXT</w:instrText>
      </w:r>
      <w:r>
        <w:rPr>
          <w:rFonts w:cs="宋体"/>
          <w:color w:val="000000"/>
          <w:kern w:val="0"/>
          <w:sz w:val="24"/>
          <w:szCs w:val="20"/>
          <w:highlight w:val="none"/>
          <w:shd w:val="clear" w:color="FFFFFF" w:fill="D9D9D9"/>
        </w:rPr>
        <w:fldChar w:fldCharType="separate"/>
      </w:r>
      <w:r>
        <w:rPr>
          <w:rFonts w:hint="eastAsia" w:cs="宋体"/>
          <w:color w:val="000000"/>
          <w:kern w:val="0"/>
          <w:sz w:val="24"/>
          <w:szCs w:val="20"/>
          <w:highlight w:val="none"/>
          <w:shd w:val="clear" w:color="FFFFFF" w:fill="D9D9D9"/>
        </w:rPr>
        <w:t>当日中午12：00</w:t>
      </w:r>
      <w:r>
        <w:rPr>
          <w:rFonts w:cs="宋体"/>
          <w:color w:val="000000"/>
          <w:kern w:val="0"/>
          <w:sz w:val="24"/>
          <w:szCs w:val="20"/>
          <w:highlight w:val="none"/>
          <w:shd w:val="clear" w:color="FFFFFF" w:fill="D9D9D9"/>
        </w:rPr>
        <w:fldChar w:fldCharType="end"/>
      </w:r>
      <w:r>
        <w:rPr>
          <w:rFonts w:hint="eastAsia" w:cs="宋体"/>
          <w:color w:val="000000"/>
          <w:sz w:val="24"/>
          <w:szCs w:val="20"/>
          <w:highlight w:val="none"/>
        </w:rPr>
        <w:t>前到达托管专户账下。在产品到期收益分配时，甲方应在划款</w:t>
      </w:r>
      <w:r>
        <w:rPr>
          <w:rFonts w:cs="宋体"/>
          <w:color w:val="000000"/>
          <w:kern w:val="0"/>
          <w:sz w:val="24"/>
          <w:szCs w:val="20"/>
          <w:highlight w:val="none"/>
          <w:shd w:val="clear" w:color="FFFFFF" w:fill="D9D9D9"/>
        </w:rPr>
        <w:fldChar w:fldCharType="begin">
          <w:ffData>
            <w:enabled/>
            <w:calcOnExit w:val="0"/>
            <w:textInput/>
          </w:ffData>
        </w:fldChar>
      </w:r>
      <w:r>
        <w:rPr>
          <w:rFonts w:cs="宋体"/>
          <w:color w:val="000000"/>
          <w:kern w:val="0"/>
          <w:sz w:val="24"/>
          <w:szCs w:val="20"/>
          <w:highlight w:val="none"/>
          <w:shd w:val="clear" w:color="FFFFFF" w:fill="D9D9D9"/>
        </w:rPr>
        <w:instrText xml:space="preserve">FORMTEXT</w:instrText>
      </w:r>
      <w:r>
        <w:rPr>
          <w:rFonts w:cs="宋体"/>
          <w:color w:val="000000"/>
          <w:kern w:val="0"/>
          <w:sz w:val="24"/>
          <w:szCs w:val="20"/>
          <w:highlight w:val="none"/>
          <w:shd w:val="clear" w:color="FFFFFF" w:fill="D9D9D9"/>
        </w:rPr>
        <w:fldChar w:fldCharType="separate"/>
      </w:r>
      <w:r>
        <w:rPr>
          <w:rFonts w:hint="eastAsia" w:cs="宋体"/>
          <w:color w:val="000000"/>
          <w:kern w:val="0"/>
          <w:sz w:val="24"/>
          <w:szCs w:val="20"/>
          <w:highlight w:val="none"/>
          <w:shd w:val="clear" w:color="FFFFFF" w:fill="D9D9D9"/>
        </w:rPr>
        <w:t>当日中午12：00</w:t>
      </w:r>
      <w:r>
        <w:rPr>
          <w:rFonts w:cs="宋体"/>
          <w:color w:val="000000"/>
          <w:kern w:val="0"/>
          <w:sz w:val="24"/>
          <w:szCs w:val="20"/>
          <w:highlight w:val="none"/>
          <w:shd w:val="clear" w:color="FFFFFF" w:fill="D9D9D9"/>
        </w:rPr>
        <w:fldChar w:fldCharType="end"/>
      </w:r>
      <w:r>
        <w:rPr>
          <w:rFonts w:hint="eastAsia" w:cs="宋体"/>
          <w:color w:val="000000"/>
          <w:sz w:val="24"/>
          <w:szCs w:val="20"/>
          <w:highlight w:val="none"/>
        </w:rPr>
        <w:t>前出具划款指令，并保证到期分配资金在</w:t>
      </w:r>
      <w:r>
        <w:rPr>
          <w:rFonts w:cs="宋体"/>
          <w:color w:val="000000"/>
          <w:kern w:val="0"/>
          <w:sz w:val="24"/>
          <w:szCs w:val="20"/>
          <w:highlight w:val="none"/>
          <w:shd w:val="clear" w:color="FFFFFF" w:fill="D9D9D9"/>
        </w:rPr>
        <w:fldChar w:fldCharType="begin">
          <w:ffData>
            <w:enabled/>
            <w:calcOnExit w:val="0"/>
            <w:textInput/>
          </w:ffData>
        </w:fldChar>
      </w:r>
      <w:r>
        <w:rPr>
          <w:rFonts w:cs="宋体"/>
          <w:color w:val="000000"/>
          <w:kern w:val="0"/>
          <w:sz w:val="24"/>
          <w:szCs w:val="20"/>
          <w:highlight w:val="none"/>
          <w:shd w:val="clear" w:color="FFFFFF" w:fill="D9D9D9"/>
        </w:rPr>
        <w:instrText xml:space="preserve">FORMTEXT</w:instrText>
      </w:r>
      <w:r>
        <w:rPr>
          <w:rFonts w:cs="宋体"/>
          <w:color w:val="000000"/>
          <w:kern w:val="0"/>
          <w:sz w:val="24"/>
          <w:szCs w:val="20"/>
          <w:highlight w:val="none"/>
          <w:shd w:val="clear" w:color="FFFFFF" w:fill="D9D9D9"/>
        </w:rPr>
        <w:fldChar w:fldCharType="separate"/>
      </w:r>
      <w:r>
        <w:rPr>
          <w:rFonts w:hint="eastAsia" w:cs="宋体"/>
          <w:color w:val="000000"/>
          <w:kern w:val="0"/>
          <w:sz w:val="24"/>
          <w:szCs w:val="20"/>
          <w:highlight w:val="none"/>
          <w:shd w:val="clear" w:color="FFFFFF" w:fill="D9D9D9"/>
        </w:rPr>
        <w:t>当日中午12：00</w:t>
      </w:r>
      <w:r>
        <w:rPr>
          <w:rFonts w:cs="宋体"/>
          <w:color w:val="000000"/>
          <w:kern w:val="0"/>
          <w:sz w:val="24"/>
          <w:szCs w:val="20"/>
          <w:highlight w:val="none"/>
          <w:shd w:val="clear" w:color="FFFFFF" w:fill="D9D9D9"/>
        </w:rPr>
        <w:fldChar w:fldCharType="end"/>
      </w:r>
      <w:r>
        <w:rPr>
          <w:rFonts w:hint="eastAsia" w:cs="宋体"/>
          <w:color w:val="000000"/>
          <w:sz w:val="24"/>
          <w:szCs w:val="20"/>
          <w:highlight w:val="none"/>
        </w:rPr>
        <w:t>前到达托管专户账下。否则由此产生的任何损失，乙方不承担任何责任。理财产品分期发行的，每期理财产品的划款指令的发送应符合本条约定。</w:t>
      </w:r>
      <w:r>
        <w:rPr>
          <w:rFonts w:hint="eastAsia" w:cs="仿宋_GB2312"/>
          <w:sz w:val="24"/>
          <w:szCs w:val="24"/>
          <w:highlight w:val="none"/>
        </w:rPr>
        <w:t>乙方在收到有效指令后，将对于同一批次的划款指令随机执行，如有特殊支付顺序，甲方应以书面形式提前告知。划款指令执行日累计金额超过人民币1亿元，原则上提前一个工作日向托管人报备，如当日报备则需在上午9:15之前。</w:t>
      </w:r>
    </w:p>
    <w:p>
      <w:pPr>
        <w:tabs>
          <w:tab w:val="right" w:leader="dot" w:pos="284"/>
          <w:tab w:val="left" w:pos="1455"/>
        </w:tabs>
        <w:spacing w:line="420" w:lineRule="exact"/>
        <w:ind w:left="-6" w:right="424" w:rightChars="202" w:firstLine="148"/>
        <w:rPr>
          <w:color w:val="000000"/>
          <w:sz w:val="24"/>
          <w:szCs w:val="20"/>
          <w:highlight w:val="none"/>
        </w:rPr>
      </w:pPr>
      <w:r>
        <w:rPr>
          <w:rFonts w:hint="eastAsia" w:cs="宋体"/>
          <w:color w:val="000000"/>
          <w:sz w:val="24"/>
          <w:szCs w:val="20"/>
          <w:highlight w:val="none"/>
        </w:rPr>
        <w:t xml:space="preserve">   甲方应按照本协议约定，在其合法的经营权限和交易权限内发送指令；被授权人应严格按照其授权权限发送指令。</w:t>
      </w:r>
    </w:p>
    <w:p>
      <w:pPr>
        <w:tabs>
          <w:tab w:val="right" w:leader="dot" w:pos="284"/>
          <w:tab w:val="left" w:pos="1455"/>
        </w:tabs>
        <w:spacing w:line="420" w:lineRule="exact"/>
        <w:ind w:left="-426" w:leftChars="-203" w:right="424" w:rightChars="202" w:firstLine="568"/>
        <w:rPr>
          <w:b/>
          <w:bCs/>
          <w:color w:val="000000"/>
          <w:sz w:val="24"/>
          <w:szCs w:val="20"/>
          <w:highlight w:val="none"/>
        </w:rPr>
      </w:pPr>
      <w:r>
        <w:rPr>
          <w:color w:val="000000"/>
          <w:kern w:val="0"/>
          <w:sz w:val="24"/>
          <w:szCs w:val="20"/>
          <w:highlight w:val="none"/>
        </w:rPr>
        <w:t xml:space="preserve">5.2 </w:t>
      </w:r>
      <w:r>
        <w:rPr>
          <w:rFonts w:hint="eastAsia" w:cs="宋体"/>
          <w:color w:val="000000"/>
          <w:sz w:val="24"/>
          <w:szCs w:val="20"/>
          <w:highlight w:val="none"/>
        </w:rPr>
        <w:t>被授权人的指定与变更</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5.2.1</w:t>
      </w:r>
      <w:r>
        <w:rPr>
          <w:rFonts w:hint="eastAsia" w:cs="宋体"/>
          <w:color w:val="000000"/>
          <w:kern w:val="0"/>
          <w:sz w:val="24"/>
          <w:szCs w:val="20"/>
          <w:highlight w:val="none"/>
        </w:rPr>
        <w:t>被授权人的指定</w:t>
      </w:r>
    </w:p>
    <w:p>
      <w:pPr>
        <w:tabs>
          <w:tab w:val="right" w:leader="dot" w:pos="284"/>
          <w:tab w:val="left" w:pos="1455"/>
        </w:tabs>
        <w:spacing w:line="420" w:lineRule="exact"/>
        <w:ind w:left="-426" w:leftChars="-203" w:right="424" w:rightChars="202" w:firstLine="568"/>
        <w:rPr>
          <w:rFonts w:hint="eastAsia" w:cs="仿宋_GB2312"/>
          <w:szCs w:val="24"/>
          <w:highlight w:val="none"/>
        </w:rPr>
      </w:pPr>
      <w:r>
        <w:rPr>
          <w:rFonts w:hint="eastAsia" w:cs="宋体"/>
          <w:kern w:val="0"/>
          <w:sz w:val="24"/>
          <w:szCs w:val="20"/>
          <w:highlight w:val="none"/>
        </w:rPr>
        <w:t>甲方应向乙方提供加盖甲方公章和法定代表人或授权代表签字</w:t>
      </w:r>
      <w:r>
        <w:rPr>
          <w:rFonts w:hint="eastAsia" w:cs="宋体"/>
          <w:kern w:val="0"/>
          <w:sz w:val="24"/>
          <w:szCs w:val="20"/>
          <w:highlight w:val="none"/>
          <w:lang w:val="en-US" w:eastAsia="zh-CN"/>
        </w:rPr>
        <w:t>/盖章</w:t>
      </w:r>
      <w:r>
        <w:rPr>
          <w:rFonts w:hint="eastAsia" w:cs="宋体"/>
          <w:kern w:val="0"/>
          <w:sz w:val="24"/>
          <w:szCs w:val="20"/>
          <w:highlight w:val="none"/>
        </w:rPr>
        <w:t>的预留印鉴（见附件四）和被授权人签字样本或印章样本</w:t>
      </w:r>
      <w:r>
        <w:rPr>
          <w:rFonts w:hint="eastAsia"/>
          <w:sz w:val="24"/>
          <w:szCs w:val="24"/>
          <w:highlight w:val="none"/>
        </w:rPr>
        <w:t>（即授权通知书，见附件三）</w:t>
      </w:r>
      <w:r>
        <w:rPr>
          <w:rFonts w:hint="eastAsia" w:cs="宋体"/>
          <w:kern w:val="0"/>
          <w:sz w:val="24"/>
          <w:szCs w:val="20"/>
          <w:highlight w:val="none"/>
        </w:rPr>
        <w:t>，</w:t>
      </w:r>
      <w:r>
        <w:rPr>
          <w:rFonts w:hint="eastAsia" w:ascii="宋体" w:hAnsi="宋体"/>
          <w:sz w:val="24"/>
          <w:szCs w:val="24"/>
          <w:highlight w:val="none"/>
        </w:rPr>
        <w:t>事先书面通知（以下称“授权通知”）乙方有权发送指令的人员名单，注明相应的交易权限，并规定甲方向乙方发送指令时乙方确认有权发送人员身份的方法。授权通知应由甲方法定代表人或被授权签字人签字并加盖公章，若由授权签字人签署，还应附上法定代表人的授权书。甲方应以</w:t>
      </w:r>
      <w:r>
        <w:rPr>
          <w:rFonts w:hint="eastAsia" w:cs="宋体"/>
          <w:color w:val="000000"/>
          <w:sz w:val="24"/>
          <w:szCs w:val="20"/>
          <w:highlight w:val="none"/>
          <w:lang w:eastAsia="zh-CN"/>
        </w:rPr>
        <w:t>电子邮件</w:t>
      </w:r>
      <w:r>
        <w:rPr>
          <w:rFonts w:hint="eastAsia" w:ascii="宋体" w:hAnsi="宋体"/>
          <w:sz w:val="24"/>
          <w:szCs w:val="24"/>
          <w:highlight w:val="none"/>
        </w:rPr>
        <w:t>或其他双方书面认可的方式向乙方发送授权通知并及时与乙方进行电话确认。授权文件需载明具体生效时间，载明的具体生效时间不得早于电话确认时间，授权文件自载明日期生效。甲方应确保原件与</w:t>
      </w:r>
      <w:r>
        <w:rPr>
          <w:rFonts w:hint="eastAsia" w:cs="宋体"/>
          <w:color w:val="000000"/>
          <w:sz w:val="24"/>
          <w:szCs w:val="20"/>
          <w:highlight w:val="none"/>
          <w:lang w:eastAsia="zh-CN"/>
        </w:rPr>
        <w:t>电子邮件</w:t>
      </w:r>
      <w:r>
        <w:rPr>
          <w:rFonts w:hint="eastAsia" w:ascii="宋体" w:hAnsi="宋体"/>
          <w:sz w:val="24"/>
          <w:szCs w:val="24"/>
          <w:highlight w:val="none"/>
        </w:rPr>
        <w:t>一致，若不一致则以</w:t>
      </w:r>
      <w:r>
        <w:rPr>
          <w:rFonts w:hint="eastAsia" w:cs="宋体"/>
          <w:color w:val="000000"/>
          <w:sz w:val="24"/>
          <w:szCs w:val="20"/>
          <w:highlight w:val="none"/>
          <w:lang w:eastAsia="zh-CN"/>
        </w:rPr>
        <w:t>电子邮件</w:t>
      </w:r>
      <w:r>
        <w:rPr>
          <w:rFonts w:hint="eastAsia" w:ascii="宋体" w:hAnsi="宋体"/>
          <w:sz w:val="24"/>
          <w:szCs w:val="24"/>
          <w:highlight w:val="none"/>
        </w:rPr>
        <w:t>为准。甲方和乙方对授权文件负有保密义务，其内容不得向授权人及相关操作人员以外的任何人泄露。</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 5.2.2</w:t>
      </w:r>
      <w:r>
        <w:rPr>
          <w:rFonts w:hint="eastAsia" w:cs="宋体"/>
          <w:color w:val="000000"/>
          <w:kern w:val="0"/>
          <w:sz w:val="24"/>
          <w:szCs w:val="20"/>
          <w:highlight w:val="none"/>
        </w:rPr>
        <w:t>被授权人的变更</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甲方更换或终止被授权人时，必须至少提前一个工作日，向乙方发出由甲方法定代表人或授权代表签字并加盖公章的被授权人变更通知，同时向乙方提供新的被授权人姓名、权限、预留印鉴和签字样本或印章样本。</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ascii="宋体" w:hAnsi="宋体" w:cs="宋体"/>
          <w:sz w:val="24"/>
          <w:szCs w:val="24"/>
          <w:highlight w:val="none"/>
        </w:rPr>
        <w:t>甲方向乙方发送授权变更通知书后应及时与乙方进行电话确认。</w:t>
      </w:r>
      <w:r>
        <w:rPr>
          <w:rFonts w:hint="eastAsia" w:ascii="宋体" w:hAnsi="宋体"/>
          <w:sz w:val="24"/>
          <w:szCs w:val="24"/>
          <w:highlight w:val="none"/>
        </w:rPr>
        <w:t>新的授权文件需载明具体生效时间，载明的具体生效时间不得早于电话确认时间，新的授权文件自载明日期生效，且原授权文件同时废止。</w:t>
      </w:r>
      <w:r>
        <w:rPr>
          <w:rFonts w:hint="eastAsia" w:ascii="宋体" w:hAnsi="宋体" w:cs="宋体"/>
          <w:sz w:val="24"/>
          <w:szCs w:val="24"/>
          <w:highlight w:val="none"/>
        </w:rPr>
        <w:t>甲方应确保原件与</w:t>
      </w:r>
      <w:r>
        <w:rPr>
          <w:rFonts w:hint="eastAsia" w:cs="宋体"/>
          <w:color w:val="000000"/>
          <w:sz w:val="24"/>
          <w:szCs w:val="20"/>
          <w:highlight w:val="none"/>
          <w:lang w:eastAsia="zh-CN"/>
        </w:rPr>
        <w:t>电子邮</w:t>
      </w:r>
      <w:r>
        <w:rPr>
          <w:rFonts w:hint="eastAsia" w:ascii="宋体" w:hAnsi="宋体" w:cs="宋体"/>
          <w:sz w:val="24"/>
          <w:szCs w:val="24"/>
          <w:highlight w:val="none"/>
        </w:rPr>
        <w:t>件一致，若不一致则以</w:t>
      </w:r>
      <w:r>
        <w:rPr>
          <w:rFonts w:hint="eastAsia" w:cs="宋体"/>
          <w:color w:val="000000"/>
          <w:sz w:val="24"/>
          <w:szCs w:val="20"/>
          <w:highlight w:val="none"/>
          <w:lang w:eastAsia="zh-CN"/>
        </w:rPr>
        <w:t>电子邮件</w:t>
      </w:r>
      <w:r>
        <w:rPr>
          <w:rFonts w:hint="eastAsia" w:ascii="宋体" w:hAnsi="宋体" w:cs="宋体"/>
          <w:sz w:val="24"/>
          <w:szCs w:val="24"/>
          <w:highlight w:val="none"/>
        </w:rPr>
        <w:t>为准。甲方</w:t>
      </w:r>
      <w:r>
        <w:rPr>
          <w:rFonts w:hint="eastAsia" w:ascii="宋体" w:hAnsi="宋体"/>
          <w:sz w:val="24"/>
          <w:szCs w:val="24"/>
          <w:highlight w:val="none"/>
        </w:rPr>
        <w:t>更换被授权人通知生效后，对于已被撤换的人员无权发送的指令，或被改变授权范围人员超权限发送的指令，乙方不予执行。</w:t>
      </w:r>
      <w:r>
        <w:rPr>
          <w:rFonts w:hint="eastAsia" w:ascii="宋体" w:hAnsi="宋体" w:cs="宋体"/>
          <w:sz w:val="24"/>
          <w:szCs w:val="24"/>
          <w:highlight w:val="none"/>
        </w:rPr>
        <w:t>甲乙方对授权文件负有保密义务，其内容不得向授权人及相关操作人员以外的任何人泄露。</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对于经本协议约定的授权程序授权后被授权人在授权权限内发出的指令，乙方不得否认其效力。乙方收到甲方发出的被授权人终止或更换书面通知生效之前，所接收的原被授权代表所签发的划款指令及其它文件仍然完全有效。</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 5.2.3</w:t>
      </w:r>
      <w:r>
        <w:rPr>
          <w:rFonts w:hint="eastAsia" w:cs="宋体"/>
          <w:color w:val="000000"/>
          <w:kern w:val="0"/>
          <w:sz w:val="24"/>
          <w:szCs w:val="20"/>
          <w:highlight w:val="none"/>
        </w:rPr>
        <w:t>划款指令的内容</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资金划款指令是甲方向乙方发出的资金划拨指令。其内容必须包括：划款日期、最迟到账日期、收（付）款人双方账户信息、划款金额、资金用途摘要和其他需要载明的事项等，同时加盖甲方的预留印鉴并由被授权人签字。</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划款指令应附相关投资合约的复印件并加盖甲方预留印鉴。相关投资合约是甲方在运用理财资金时，向乙方提供的证明其合格投资的相关文件。如甲方在发出划款指令的同时，未按照本协议的约定一并提供相应的全部文件，则乙方有权拒绝执行划款指令，由此造成的损失，乙方不承担任何形式的责任。</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5.2.4</w:t>
      </w:r>
      <w:r>
        <w:rPr>
          <w:rFonts w:hint="eastAsia" w:cs="宋体"/>
          <w:color w:val="000000"/>
          <w:kern w:val="0"/>
          <w:sz w:val="24"/>
          <w:szCs w:val="20"/>
          <w:highlight w:val="none"/>
        </w:rPr>
        <w:t>划款指令的权限范围</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对于甲方提交的划款指令</w:t>
      </w:r>
      <w:r>
        <w:rPr>
          <w:rFonts w:cs="宋体"/>
          <w:color w:val="000000"/>
          <w:kern w:val="0"/>
          <w:sz w:val="24"/>
          <w:szCs w:val="20"/>
          <w:highlight w:val="none"/>
        </w:rPr>
        <w:t>,</w:t>
      </w:r>
      <w:r>
        <w:rPr>
          <w:rFonts w:hint="eastAsia" w:cs="宋体"/>
          <w:color w:val="000000"/>
          <w:kern w:val="0"/>
          <w:sz w:val="24"/>
          <w:szCs w:val="20"/>
          <w:highlight w:val="none"/>
        </w:rPr>
        <w:t>乙方仅执行下述类型的操作：</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olor w:val="000000"/>
          <w:sz w:val="24"/>
          <w:szCs w:val="20"/>
          <w:highlight w:val="none"/>
        </w:rPr>
        <w:t>5.2.4.1</w:t>
      </w:r>
      <w:r>
        <w:rPr>
          <w:rFonts w:hint="eastAsia" w:cs="宋体"/>
          <w:color w:val="000000"/>
          <w:kern w:val="0"/>
          <w:sz w:val="24"/>
          <w:szCs w:val="20"/>
          <w:highlight w:val="none"/>
        </w:rPr>
        <w:t>办理托管专户向理财专用资金账户的资金划转；</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olor w:val="000000"/>
          <w:sz w:val="24"/>
          <w:szCs w:val="20"/>
          <w:highlight w:val="none"/>
        </w:rPr>
        <w:t>5.2.4.2</w:t>
      </w:r>
      <w:r>
        <w:rPr>
          <w:rFonts w:hint="eastAsia" w:cs="宋体"/>
          <w:color w:val="000000"/>
          <w:kern w:val="0"/>
          <w:sz w:val="24"/>
          <w:szCs w:val="20"/>
          <w:highlight w:val="none"/>
        </w:rPr>
        <w:t>根据本协议约定办理应由理财产品承担的各项费用的划拨；</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olor w:val="000000"/>
          <w:sz w:val="24"/>
          <w:szCs w:val="20"/>
          <w:highlight w:val="none"/>
        </w:rPr>
        <w:t>5.2.4.3</w:t>
      </w:r>
      <w:r>
        <w:rPr>
          <w:rFonts w:hint="eastAsia" w:cs="宋体"/>
          <w:color w:val="000000"/>
          <w:kern w:val="0"/>
          <w:sz w:val="24"/>
          <w:szCs w:val="20"/>
          <w:highlight w:val="none"/>
        </w:rPr>
        <w:t>办理本理财产品终止时的清算分配手续，向甲方提供的受益人理财产品利益分配账户划拨理财产品利益，乙方并不负责核实受益人理财产品利益分配账户的真实性、准确性；</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olor w:val="000000"/>
          <w:sz w:val="24"/>
          <w:szCs w:val="20"/>
          <w:highlight w:val="none"/>
        </w:rPr>
        <w:t>5.2.4.4</w:t>
      </w:r>
      <w:r>
        <w:rPr>
          <w:rFonts w:hint="eastAsia" w:cs="宋体"/>
          <w:color w:val="000000"/>
          <w:kern w:val="0"/>
          <w:sz w:val="24"/>
          <w:szCs w:val="20"/>
          <w:highlight w:val="none"/>
        </w:rPr>
        <w:t>根据本协议约定对本理财产品资金进行场外投资管理、运用、处置，该项划款指令必须附带相关投资合约（复印件加盖甲方</w:t>
      </w:r>
      <w:r>
        <w:rPr>
          <w:rFonts w:hint="eastAsia"/>
          <w:sz w:val="24"/>
          <w:szCs w:val="24"/>
          <w:highlight w:val="none"/>
        </w:rPr>
        <w:t>预留印鉴</w:t>
      </w:r>
      <w:r>
        <w:rPr>
          <w:rFonts w:hint="eastAsia" w:cs="宋体"/>
          <w:color w:val="000000"/>
          <w:kern w:val="0"/>
          <w:sz w:val="24"/>
          <w:szCs w:val="20"/>
          <w:highlight w:val="none"/>
        </w:rPr>
        <w:t>）等方有效；</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olor w:val="000000"/>
          <w:sz w:val="24"/>
          <w:szCs w:val="20"/>
          <w:highlight w:val="none"/>
        </w:rPr>
        <w:t>5.2.4.5</w:t>
      </w:r>
      <w:r>
        <w:rPr>
          <w:rFonts w:hint="eastAsia" w:cs="宋体"/>
          <w:color w:val="000000"/>
          <w:kern w:val="0"/>
          <w:sz w:val="24"/>
          <w:szCs w:val="20"/>
          <w:highlight w:val="none"/>
        </w:rPr>
        <w:t>符合本协议约定的其他划款指令。</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因乙方根据本款第</w:t>
      </w:r>
      <w:r>
        <w:rPr>
          <w:rFonts w:hint="eastAsia"/>
          <w:color w:val="000000"/>
          <w:sz w:val="24"/>
          <w:szCs w:val="20"/>
          <w:highlight w:val="none"/>
        </w:rPr>
        <w:t>5.2.4.1项</w:t>
      </w:r>
      <w:r>
        <w:rPr>
          <w:rFonts w:hint="eastAsia" w:cs="宋体"/>
          <w:color w:val="000000"/>
          <w:kern w:val="0"/>
          <w:sz w:val="24"/>
          <w:szCs w:val="20"/>
          <w:highlight w:val="none"/>
        </w:rPr>
        <w:t>至第</w:t>
      </w:r>
      <w:r>
        <w:rPr>
          <w:rFonts w:hint="eastAsia"/>
          <w:color w:val="000000"/>
          <w:sz w:val="24"/>
          <w:szCs w:val="20"/>
          <w:highlight w:val="none"/>
        </w:rPr>
        <w:t>5.2.4.4</w:t>
      </w:r>
      <w:r>
        <w:rPr>
          <w:rFonts w:hint="eastAsia" w:cs="宋体"/>
          <w:color w:val="000000"/>
          <w:kern w:val="0"/>
          <w:sz w:val="24"/>
          <w:szCs w:val="20"/>
          <w:highlight w:val="none"/>
        </w:rPr>
        <w:t>项约定合理执行甲方的划款指令而产生的费用，除特别说明外，由理财产品承担，甲方有义务确保在理财产品说明书中有此约定。</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5.2.</w:t>
      </w:r>
      <w:r>
        <w:rPr>
          <w:rFonts w:hint="eastAsia"/>
          <w:color w:val="000000"/>
          <w:kern w:val="0"/>
          <w:sz w:val="24"/>
          <w:szCs w:val="20"/>
          <w:highlight w:val="none"/>
        </w:rPr>
        <w:t>5</w:t>
      </w:r>
      <w:r>
        <w:rPr>
          <w:rFonts w:hint="eastAsia" w:cs="宋体"/>
          <w:color w:val="000000"/>
          <w:kern w:val="0"/>
          <w:sz w:val="24"/>
          <w:szCs w:val="20"/>
          <w:highlight w:val="none"/>
        </w:rPr>
        <w:t>划款指令的确认</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ascii="宋体" w:hAnsi="宋体" w:cs="宋体"/>
          <w:sz w:val="24"/>
          <w:szCs w:val="24"/>
          <w:highlight w:val="none"/>
        </w:rPr>
        <w:t>划款指令的发送方式为</w:t>
      </w:r>
      <w:r>
        <w:rPr>
          <w:rFonts w:hint="eastAsia" w:cs="宋体"/>
          <w:color w:val="000000"/>
          <w:sz w:val="24"/>
          <w:szCs w:val="20"/>
          <w:highlight w:val="none"/>
          <w:lang w:eastAsia="zh-CN"/>
        </w:rPr>
        <w:t>电子邮件</w:t>
      </w:r>
      <w:r>
        <w:rPr>
          <w:rFonts w:hint="eastAsia" w:ascii="宋体" w:hAnsi="宋体" w:cs="宋体"/>
          <w:sz w:val="24"/>
          <w:szCs w:val="24"/>
          <w:highlight w:val="none"/>
        </w:rPr>
        <w:t>方式或其他双方书面约定的方式，</w:t>
      </w:r>
      <w:r>
        <w:rPr>
          <w:rFonts w:hint="eastAsia" w:cs="宋体"/>
          <w:color w:val="000000"/>
          <w:kern w:val="0"/>
          <w:sz w:val="24"/>
          <w:szCs w:val="20"/>
          <w:highlight w:val="none"/>
        </w:rPr>
        <w:t>资金划款指令发出后，甲方应及时以电话方式通知乙方并确认收妥。甲方保留划款指令正本，乙方保留划款指令正本</w:t>
      </w:r>
      <w:r>
        <w:rPr>
          <w:rFonts w:hint="eastAsia" w:cs="宋体"/>
          <w:color w:val="000000"/>
          <w:sz w:val="24"/>
          <w:szCs w:val="20"/>
          <w:highlight w:val="none"/>
          <w:lang w:eastAsia="zh-CN"/>
        </w:rPr>
        <w:t>电子邮件</w:t>
      </w:r>
      <w:r>
        <w:rPr>
          <w:rFonts w:hint="eastAsia" w:cs="宋体"/>
          <w:color w:val="000000"/>
          <w:kern w:val="0"/>
          <w:sz w:val="24"/>
          <w:szCs w:val="20"/>
          <w:highlight w:val="none"/>
        </w:rPr>
        <w:t>。甲方在发送划拨指令后应即时通过录音电话与乙方联系，对该指令的内容（包括但不限于划款时间、资金规模、付/收款人名称、付/收款人账号、付收款人开户行、资金用途等）进行核对。划款指令正本应与</w:t>
      </w:r>
      <w:r>
        <w:rPr>
          <w:rFonts w:hint="eastAsia" w:cs="宋体"/>
          <w:color w:val="000000"/>
          <w:sz w:val="24"/>
          <w:szCs w:val="20"/>
          <w:highlight w:val="none"/>
          <w:lang w:eastAsia="zh-CN"/>
        </w:rPr>
        <w:t>电子邮件</w:t>
      </w:r>
      <w:r>
        <w:rPr>
          <w:rFonts w:hint="eastAsia" w:cs="宋体"/>
          <w:color w:val="000000"/>
          <w:kern w:val="0"/>
          <w:sz w:val="24"/>
          <w:szCs w:val="20"/>
          <w:highlight w:val="none"/>
        </w:rPr>
        <w:t>内容一致，当两者不一致时，以乙方收到的指令</w:t>
      </w:r>
      <w:r>
        <w:rPr>
          <w:rFonts w:hint="eastAsia" w:cs="宋体"/>
          <w:color w:val="000000"/>
          <w:sz w:val="24"/>
          <w:szCs w:val="20"/>
          <w:highlight w:val="none"/>
          <w:lang w:eastAsia="zh-CN"/>
        </w:rPr>
        <w:t>电子邮件</w:t>
      </w:r>
      <w:r>
        <w:rPr>
          <w:rFonts w:hint="eastAsia" w:cs="宋体"/>
          <w:color w:val="000000"/>
          <w:kern w:val="0"/>
          <w:sz w:val="24"/>
          <w:szCs w:val="20"/>
          <w:highlight w:val="none"/>
        </w:rPr>
        <w:t>为准。甲方应按照本协议的约定，在其合法的经营权限和交易权限内发送划款指令。指令的发送需由被授权人操作，同时被授权人应严格按照其授权权限发送指令。指令的发送方式为</w:t>
      </w:r>
      <w:r>
        <w:rPr>
          <w:rFonts w:hint="eastAsia" w:cs="宋体"/>
          <w:color w:val="000000"/>
          <w:sz w:val="24"/>
          <w:szCs w:val="20"/>
          <w:highlight w:val="none"/>
          <w:lang w:eastAsia="zh-CN"/>
        </w:rPr>
        <w:t>电子邮件</w:t>
      </w:r>
      <w:r>
        <w:rPr>
          <w:rFonts w:hint="eastAsia" w:cs="宋体"/>
          <w:color w:val="000000"/>
          <w:kern w:val="0"/>
          <w:sz w:val="24"/>
          <w:szCs w:val="20"/>
          <w:highlight w:val="none"/>
        </w:rPr>
        <w:t>方式，划款指令经甲方电话确认后生效。</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5.2.</w:t>
      </w:r>
      <w:r>
        <w:rPr>
          <w:rFonts w:hint="eastAsia"/>
          <w:color w:val="000000"/>
          <w:kern w:val="0"/>
          <w:sz w:val="24"/>
          <w:szCs w:val="20"/>
          <w:highlight w:val="none"/>
        </w:rPr>
        <w:t>6</w:t>
      </w:r>
      <w:r>
        <w:rPr>
          <w:rFonts w:hint="eastAsia" w:cs="宋体"/>
          <w:color w:val="000000"/>
          <w:kern w:val="0"/>
          <w:sz w:val="24"/>
          <w:szCs w:val="20"/>
          <w:highlight w:val="none"/>
        </w:rPr>
        <w:t>划款指令的执行</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对于来自甲方的划款指令，乙方进行表面一致性审核</w:t>
      </w:r>
      <w:r>
        <w:rPr>
          <w:rFonts w:cs="宋体"/>
          <w:color w:val="000000"/>
          <w:kern w:val="0"/>
          <w:sz w:val="24"/>
          <w:szCs w:val="20"/>
          <w:highlight w:val="none"/>
        </w:rPr>
        <w:t>:</w:t>
      </w:r>
      <w:r>
        <w:rPr>
          <w:rFonts w:hint="eastAsia" w:cs="宋体"/>
          <w:color w:val="000000"/>
          <w:kern w:val="0"/>
          <w:sz w:val="24"/>
          <w:szCs w:val="20"/>
          <w:highlight w:val="none"/>
        </w:rPr>
        <w:t>资金划款指令要素是否齐全；印鉴和签名是否与预留文件相符；指令是否违反法律法规、理财协议书及本协议；甲方提交的其他相关材料是否与划款指令表面相符。乙方审</w:t>
      </w:r>
      <w:r>
        <w:rPr>
          <w:rFonts w:hint="eastAsia"/>
          <w:color w:val="000000"/>
          <w:sz w:val="24"/>
          <w:szCs w:val="20"/>
          <w:highlight w:val="none"/>
        </w:rPr>
        <w:t>核无误后</w:t>
      </w:r>
      <w:r>
        <w:rPr>
          <w:rFonts w:hint="eastAsia" w:cs="宋体"/>
          <w:color w:val="000000"/>
          <w:kern w:val="0"/>
          <w:sz w:val="24"/>
          <w:szCs w:val="20"/>
          <w:highlight w:val="none"/>
        </w:rPr>
        <w:t>，应按照划款指令的要求及时执行，不得延误。若甲方下达的指令不符合上述表面一致性的要求，由乙方通知甲方及时更正，因此未能及时划款而造成的理财财产的损失，由甲方承担责任，与乙方无关。乙方仅对甲方提交的划款指令按照本协议的约定进行表面一致性审查，其同时提交的其他文件资料乙方仅用于保存，不负责审查，此外，乙方不负责审查甲方发送的划款指令和其同时提交的其他文件资料的合法性、真实性、完整性、有效性及准确性，甲方应保证上述划款指令和文件资料合法、真实、完整、准确和有效。</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如果甲方的划款指令存在事实上未经授权、欺诈、伪造等非乙方原因造成的情形，只要乙方根据本协议相关约定表面验证有关印鉴与签名无误，乙方不承担因正确执行有关指令而给甲方或任何第三人带来的损失，全部责任由甲方自行承担。</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甲方向乙方发送资金划款指令时，应充分考虑到托管账户头寸和乙方执行指令所必需的合理时间。原则上，甲方应提前一个工作日向乙方发送划款指令，对于需要当日到账的资金划转，甲方应于划款当日</w:t>
      </w:r>
      <w:r>
        <w:rPr>
          <w:rFonts w:cs="宋体"/>
          <w:color w:val="000000"/>
          <w:kern w:val="0"/>
          <w:sz w:val="24"/>
          <w:szCs w:val="20"/>
          <w:highlight w:val="none"/>
          <w:shd w:val="clear" w:color="FFFFFF" w:fill="D9D9D9"/>
        </w:rPr>
        <w:fldChar w:fldCharType="begin">
          <w:ffData>
            <w:enabled/>
            <w:calcOnExit w:val="0"/>
            <w:textInput/>
          </w:ffData>
        </w:fldChar>
      </w:r>
      <w:r>
        <w:rPr>
          <w:rFonts w:cs="宋体"/>
          <w:color w:val="000000"/>
          <w:kern w:val="0"/>
          <w:sz w:val="24"/>
          <w:szCs w:val="20"/>
          <w:highlight w:val="none"/>
          <w:shd w:val="clear" w:color="FFFFFF" w:fill="D9D9D9"/>
        </w:rPr>
        <w:instrText xml:space="preserve">FORMTEXT</w:instrText>
      </w:r>
      <w:r>
        <w:rPr>
          <w:rFonts w:cs="宋体"/>
          <w:color w:val="000000"/>
          <w:kern w:val="0"/>
          <w:sz w:val="24"/>
          <w:szCs w:val="20"/>
          <w:highlight w:val="none"/>
          <w:shd w:val="clear" w:color="FFFFFF" w:fill="D9D9D9"/>
        </w:rPr>
        <w:fldChar w:fldCharType="separate"/>
      </w:r>
      <w:r>
        <w:rPr>
          <w:rFonts w:hint="eastAsia" w:cs="宋体"/>
          <w:color w:val="000000"/>
          <w:kern w:val="0"/>
          <w:sz w:val="24"/>
          <w:szCs w:val="20"/>
          <w:highlight w:val="none"/>
          <w:shd w:val="clear" w:color="FFFFFF" w:fill="D9D9D9"/>
        </w:rPr>
        <w:t>当日中午12：00</w:t>
      </w:r>
      <w:r>
        <w:rPr>
          <w:rFonts w:cs="宋体"/>
          <w:color w:val="000000"/>
          <w:kern w:val="0"/>
          <w:sz w:val="24"/>
          <w:szCs w:val="20"/>
          <w:highlight w:val="none"/>
          <w:shd w:val="clear" w:color="FFFFFF" w:fill="D9D9D9"/>
        </w:rPr>
        <w:fldChar w:fldCharType="end"/>
      </w:r>
      <w:r>
        <w:rPr>
          <w:rFonts w:hint="eastAsia" w:cs="宋体"/>
          <w:color w:val="000000"/>
          <w:kern w:val="0"/>
          <w:sz w:val="24"/>
          <w:szCs w:val="20"/>
          <w:highlight w:val="none"/>
        </w:rPr>
        <w:t>前向乙方发送划款指令，如有特殊情况，双方协商解决，但乙方不承担因甲方未能留出本协议约定合理时间而导致乙方不能按本协议约定执行指令所造成的任何损失和责任。对于超头寸、超时间限制的资金划款指令，乙方有权拒绝执行，但应及时通知甲方，由此造成的损失乙方不承担任何形式的责任；由于第三方原因造成资金不能按时到账的，乙方免责，但乙方有义务在发现此等情形后及时通知甲方。</w:t>
      </w:r>
    </w:p>
    <w:p>
      <w:pPr>
        <w:tabs>
          <w:tab w:val="right" w:leader="dot" w:pos="284"/>
          <w:tab w:val="left" w:pos="1455"/>
        </w:tabs>
        <w:spacing w:line="420" w:lineRule="exact"/>
        <w:ind w:left="-426" w:leftChars="-203" w:right="424" w:rightChars="202" w:firstLine="568"/>
        <w:rPr>
          <w:rFonts w:ascii="宋体" w:hAnsi="宋体"/>
          <w:sz w:val="24"/>
          <w:szCs w:val="24"/>
          <w:highlight w:val="none"/>
        </w:rPr>
      </w:pPr>
      <w:r>
        <w:rPr>
          <w:rFonts w:hint="eastAsia" w:ascii="宋体" w:hAnsi="宋体"/>
          <w:sz w:val="24"/>
          <w:szCs w:val="24"/>
          <w:highlight w:val="none"/>
        </w:rPr>
        <w:t>管</w:t>
      </w:r>
      <w:r>
        <w:rPr>
          <w:rFonts w:hint="eastAsia" w:cs="仿宋_GB2312"/>
          <w:sz w:val="24"/>
          <w:szCs w:val="24"/>
          <w:highlight w:val="none"/>
        </w:rPr>
        <w:t>理人应在进行银行间同业市场交易后及时将交易成交单加盖授权通知中的预留印鉴后及时</w:t>
      </w:r>
      <w:r>
        <w:rPr>
          <w:rFonts w:hint="eastAsia" w:cs="仿宋_GB2312"/>
          <w:sz w:val="24"/>
          <w:szCs w:val="24"/>
          <w:highlight w:val="none"/>
          <w:lang w:eastAsia="zh-CN"/>
        </w:rPr>
        <w:t>将</w:t>
      </w:r>
      <w:r>
        <w:rPr>
          <w:rFonts w:hint="eastAsia" w:cs="宋体"/>
          <w:color w:val="000000"/>
          <w:sz w:val="24"/>
          <w:szCs w:val="20"/>
          <w:highlight w:val="none"/>
          <w:lang w:eastAsia="zh-CN"/>
        </w:rPr>
        <w:t>电子邮件发送</w:t>
      </w:r>
      <w:r>
        <w:rPr>
          <w:rFonts w:hint="eastAsia" w:cs="仿宋_GB2312"/>
          <w:sz w:val="24"/>
          <w:szCs w:val="24"/>
          <w:highlight w:val="none"/>
        </w:rPr>
        <w:t>给托管人，并电话确认。如果</w:t>
      </w:r>
      <w:r>
        <w:rPr>
          <w:rFonts w:hint="eastAsia" w:cs="仿宋_GB2312"/>
          <w:sz w:val="24"/>
          <w:szCs w:val="24"/>
          <w:highlight w:val="none"/>
          <w:lang w:eastAsia="zh-CN"/>
        </w:rPr>
        <w:t>未发送</w:t>
      </w:r>
      <w:r>
        <w:rPr>
          <w:rFonts w:hint="eastAsia" w:cs="宋体"/>
          <w:color w:val="000000"/>
          <w:sz w:val="24"/>
          <w:szCs w:val="20"/>
          <w:highlight w:val="none"/>
          <w:lang w:eastAsia="zh-CN"/>
        </w:rPr>
        <w:t>电子邮件</w:t>
      </w:r>
      <w:r>
        <w:rPr>
          <w:rFonts w:hint="eastAsia" w:cs="仿宋_GB2312"/>
          <w:sz w:val="24"/>
          <w:szCs w:val="24"/>
          <w:highlight w:val="none"/>
        </w:rPr>
        <w:t>，管理人应出具加盖预留印鉴的函件说明不再出具交易成交单并与托管人确认接收该函件后起执行。如果银行间簿记系统已经生成的交易需要取消或终止，管理人要书面通知托管人。</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p>
    <w:p>
      <w:pPr>
        <w:pStyle w:val="2"/>
        <w:tabs>
          <w:tab w:val="right" w:leader="dot" w:pos="284"/>
        </w:tabs>
        <w:adjustRightInd w:val="0"/>
        <w:spacing w:before="0" w:beforeLines="0" w:after="0" w:afterLines="0" w:line="420" w:lineRule="exact"/>
        <w:ind w:left="-426" w:leftChars="-203" w:right="424" w:rightChars="202" w:firstLine="568"/>
        <w:jc w:val="center"/>
        <w:textAlignment w:val="auto"/>
        <w:rPr>
          <w:rFonts w:cs="宋体"/>
          <w:bCs w:val="0"/>
          <w:color w:val="000000"/>
          <w:sz w:val="24"/>
          <w:szCs w:val="20"/>
          <w:highlight w:val="none"/>
        </w:rPr>
      </w:pPr>
      <w:r>
        <w:rPr>
          <w:rFonts w:hint="eastAsia" w:cs="宋体"/>
          <w:bCs w:val="0"/>
          <w:color w:val="000000"/>
          <w:sz w:val="24"/>
          <w:szCs w:val="20"/>
          <w:highlight w:val="none"/>
        </w:rPr>
        <w:t>第六条</w:t>
      </w:r>
      <w:r>
        <w:rPr>
          <w:rFonts w:cs="宋体"/>
          <w:bCs w:val="0"/>
          <w:color w:val="000000"/>
          <w:sz w:val="24"/>
          <w:szCs w:val="20"/>
          <w:highlight w:val="none"/>
        </w:rPr>
        <w:t xml:space="preserve">  </w:t>
      </w:r>
      <w:r>
        <w:rPr>
          <w:rFonts w:hint="eastAsia" w:cs="宋体"/>
          <w:bCs w:val="0"/>
          <w:color w:val="000000"/>
          <w:sz w:val="24"/>
          <w:szCs w:val="20"/>
          <w:highlight w:val="none"/>
        </w:rPr>
        <w:t>交易及清算交收安排</w:t>
      </w:r>
      <w:bookmarkEnd w:id="13"/>
      <w:bookmarkEnd w:id="14"/>
      <w:bookmarkEnd w:id="15"/>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6.1</w:t>
      </w:r>
      <w:r>
        <w:rPr>
          <w:rFonts w:hint="eastAsia" w:cs="宋体"/>
          <w:color w:val="000000"/>
          <w:kern w:val="0"/>
          <w:sz w:val="24"/>
          <w:szCs w:val="20"/>
          <w:highlight w:val="none"/>
        </w:rPr>
        <w:t>场内交易清算</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甲方负责选择代理理财产品在交易所内进行证券买卖的证券经纪商，并承担相应责任。</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甲乙双方以及被选择的证券经纪商另行签订《</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hint="eastAsia" w:cs="宋体"/>
          <w:color w:val="000000"/>
          <w:sz w:val="24"/>
          <w:szCs w:val="20"/>
          <w:highlight w:val="none"/>
          <w:u w:val="single"/>
          <w:shd w:val="clear" w:color="FFFFFF" w:fill="D9D9D9"/>
        </w:rPr>
        <w:t>太原市城区农村信用合作联社信盈宝系列</w:t>
      </w:r>
      <w:r>
        <w:rPr>
          <w:rFonts w:hint="eastAsia" w:cs="宋体"/>
          <w:color w:val="000000"/>
          <w:sz w:val="24"/>
          <w:szCs w:val="20"/>
          <w:highlight w:val="none"/>
          <w:u w:val="single"/>
          <w:shd w:val="clear" w:color="FFFFFF" w:fill="D9D9D9"/>
        </w:rPr>
        <w:fldChar w:fldCharType="end"/>
      </w:r>
      <w:r>
        <w:rPr>
          <w:rFonts w:hint="eastAsia" w:cs="宋体"/>
          <w:color w:val="000000"/>
          <w:kern w:val="0"/>
          <w:sz w:val="24"/>
          <w:szCs w:val="20"/>
          <w:highlight w:val="none"/>
        </w:rPr>
        <w:t>理财计划托管协议之</w:t>
      </w:r>
      <w:r>
        <w:rPr>
          <w:rFonts w:hint="eastAsia" w:cs="宋体"/>
          <w:color w:val="000000"/>
          <w:kern w:val="0"/>
          <w:sz w:val="24"/>
          <w:szCs w:val="20"/>
          <w:highlight w:val="none"/>
          <w:lang w:eastAsia="zh-CN"/>
        </w:rPr>
        <w:t>证券投资</w:t>
      </w:r>
      <w:r>
        <w:rPr>
          <w:rFonts w:hint="eastAsia" w:cs="宋体"/>
          <w:color w:val="000000"/>
          <w:kern w:val="0"/>
          <w:sz w:val="24"/>
          <w:szCs w:val="20"/>
          <w:highlight w:val="none"/>
        </w:rPr>
        <w:t>操作备忘录》，明确三方在理财产品证券买卖的过程，即在证券交易所进行的各类证券交易、证券交收及相关证券交易的资金交收过程中的职责和义务，保障理财财产的安全。</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6.2</w:t>
      </w:r>
      <w:r>
        <w:rPr>
          <w:rFonts w:hint="eastAsia" w:cs="宋体"/>
          <w:color w:val="000000"/>
          <w:kern w:val="0"/>
          <w:sz w:val="24"/>
          <w:szCs w:val="20"/>
          <w:highlight w:val="none"/>
        </w:rPr>
        <w:t>非交易所交易资金清算</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乙方凭甲方有效划款指令和相关投资合同（如有）进行资金划拨。</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6.3</w:t>
      </w:r>
      <w:r>
        <w:rPr>
          <w:rFonts w:hint="eastAsia" w:cs="宋体"/>
          <w:color w:val="000000"/>
          <w:kern w:val="0"/>
          <w:sz w:val="24"/>
          <w:szCs w:val="20"/>
          <w:highlight w:val="none"/>
        </w:rPr>
        <w:t>其他资金清算</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olor w:val="000000"/>
          <w:sz w:val="24"/>
          <w:szCs w:val="20"/>
          <w:highlight w:val="none"/>
        </w:rPr>
        <w:t>6.3.1</w:t>
      </w:r>
      <w:r>
        <w:rPr>
          <w:rFonts w:hint="eastAsia" w:cs="宋体"/>
          <w:color w:val="000000"/>
          <w:kern w:val="0"/>
          <w:sz w:val="24"/>
          <w:szCs w:val="20"/>
          <w:highlight w:val="none"/>
        </w:rPr>
        <w:t>资金清付：按照甲方向乙方提交的交易文件和有效的划款指令进行清算确认。</w:t>
      </w:r>
      <w:r>
        <w:rPr>
          <w:rFonts w:cs="宋体"/>
          <w:color w:val="000000"/>
          <w:kern w:val="0"/>
          <w:sz w:val="24"/>
          <w:szCs w:val="20"/>
          <w:highlight w:val="none"/>
        </w:rPr>
        <w:t xml:space="preserve"> </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olor w:val="000000"/>
          <w:sz w:val="24"/>
          <w:szCs w:val="20"/>
          <w:highlight w:val="none"/>
        </w:rPr>
        <w:t>6.3.2</w:t>
      </w:r>
      <w:r>
        <w:rPr>
          <w:rFonts w:hint="eastAsia" w:cs="宋体"/>
          <w:color w:val="000000"/>
          <w:kern w:val="0"/>
          <w:sz w:val="24"/>
          <w:szCs w:val="20"/>
          <w:highlight w:val="none"/>
        </w:rPr>
        <w:t>资金清收：甲方向乙方发送托管专户《资金到账通知书》，告知划付至托管专户的资金金额。乙方依据甲方出具的书面指令进行清算确认。</w:t>
      </w:r>
    </w:p>
    <w:p>
      <w:pPr>
        <w:pStyle w:val="2"/>
        <w:tabs>
          <w:tab w:val="right" w:leader="dot" w:pos="284"/>
        </w:tabs>
        <w:adjustRightInd w:val="0"/>
        <w:spacing w:before="0" w:beforeLines="0" w:after="0" w:afterLines="0" w:line="420" w:lineRule="exact"/>
        <w:ind w:left="-426" w:leftChars="-203" w:right="424" w:rightChars="202" w:firstLine="568"/>
        <w:jc w:val="center"/>
        <w:textAlignment w:val="auto"/>
        <w:rPr>
          <w:rFonts w:cs="宋体"/>
          <w:bCs w:val="0"/>
          <w:color w:val="000000"/>
          <w:sz w:val="24"/>
          <w:szCs w:val="20"/>
          <w:highlight w:val="none"/>
        </w:rPr>
      </w:pPr>
      <w:bookmarkStart w:id="16" w:name="_Toc382240761"/>
      <w:bookmarkStart w:id="17" w:name="_Toc666"/>
      <w:r>
        <w:rPr>
          <w:rFonts w:hint="eastAsia" w:cs="宋体"/>
          <w:bCs w:val="0"/>
          <w:color w:val="000000"/>
          <w:sz w:val="24"/>
          <w:szCs w:val="20"/>
          <w:highlight w:val="none"/>
        </w:rPr>
        <w:t>第七条</w:t>
      </w:r>
      <w:r>
        <w:rPr>
          <w:rFonts w:cs="宋体"/>
          <w:bCs w:val="0"/>
          <w:color w:val="000000"/>
          <w:sz w:val="24"/>
          <w:szCs w:val="20"/>
          <w:highlight w:val="none"/>
        </w:rPr>
        <w:t xml:space="preserve">  </w:t>
      </w:r>
      <w:r>
        <w:rPr>
          <w:rFonts w:hint="eastAsia" w:cs="宋体"/>
          <w:bCs w:val="0"/>
          <w:color w:val="000000"/>
          <w:sz w:val="24"/>
          <w:szCs w:val="20"/>
          <w:highlight w:val="none"/>
        </w:rPr>
        <w:t>理财产品运作流程</w:t>
      </w:r>
      <w:bookmarkEnd w:id="16"/>
      <w:bookmarkEnd w:id="17"/>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7.1</w:t>
      </w:r>
      <w:r>
        <w:rPr>
          <w:rFonts w:cs="宋体"/>
          <w:color w:val="000000"/>
          <w:kern w:val="0"/>
          <w:sz w:val="24"/>
          <w:szCs w:val="20"/>
          <w:highlight w:val="none"/>
        </w:rPr>
        <w:t xml:space="preserve"> </w:t>
      </w:r>
      <w:r>
        <w:rPr>
          <w:rFonts w:hint="eastAsia" w:cs="宋体"/>
          <w:color w:val="000000"/>
          <w:kern w:val="0"/>
          <w:sz w:val="24"/>
          <w:szCs w:val="20"/>
          <w:highlight w:val="none"/>
        </w:rPr>
        <w:t>理财产品资金归集</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理财产品起息日，甲方应于起息日当日将理财资金全部划转至托管专户中，并及时电话通知乙方,理财资金划拨至托管专户且本托管协议已经签署</w:t>
      </w:r>
      <w:r>
        <w:rPr>
          <w:rFonts w:hint="eastAsia" w:cs="宋体"/>
          <w:color w:val="000000"/>
          <w:kern w:val="0"/>
          <w:sz w:val="24"/>
          <w:szCs w:val="20"/>
          <w:highlight w:val="none"/>
          <w:lang w:eastAsia="zh-CN"/>
        </w:rPr>
        <w:t>生效</w:t>
      </w:r>
      <w:r>
        <w:rPr>
          <w:rFonts w:hint="eastAsia" w:cs="宋体"/>
          <w:color w:val="000000"/>
          <w:kern w:val="0"/>
          <w:sz w:val="24"/>
          <w:szCs w:val="20"/>
          <w:highlight w:val="none"/>
        </w:rPr>
        <w:t>之日乙方才开始履行托管职责。</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7.2 </w:t>
      </w:r>
      <w:r>
        <w:rPr>
          <w:rFonts w:hint="eastAsia" w:cs="宋体"/>
          <w:color w:val="000000"/>
          <w:kern w:val="0"/>
          <w:sz w:val="24"/>
          <w:szCs w:val="20"/>
          <w:highlight w:val="none"/>
        </w:rPr>
        <w:t>投资款项划拨</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7.2.1</w:t>
      </w:r>
      <w:r>
        <w:rPr>
          <w:rFonts w:hint="eastAsia" w:cs="宋体"/>
          <w:color w:val="000000"/>
          <w:kern w:val="0"/>
          <w:sz w:val="24"/>
          <w:szCs w:val="20"/>
          <w:highlight w:val="none"/>
        </w:rPr>
        <w:t>甲方应按照本协议第五条的约定向乙方发送资金划款指令。</w:t>
      </w:r>
    </w:p>
    <w:p>
      <w:pPr>
        <w:tabs>
          <w:tab w:val="right" w:leader="dot" w:pos="284"/>
        </w:tabs>
        <w:snapToGrid w:val="0"/>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7.2.2</w:t>
      </w:r>
      <w:r>
        <w:rPr>
          <w:rFonts w:hint="eastAsia" w:cs="宋体"/>
          <w:color w:val="000000"/>
          <w:kern w:val="0"/>
          <w:sz w:val="24"/>
          <w:szCs w:val="20"/>
          <w:highlight w:val="none"/>
        </w:rPr>
        <w:t>乙方在收到甲方的划款指令后，应该按照本协议第五条的约定对划款指令进行表面一致性审核，审核无误的有效划款指令，应该及时按划款指令内容，将资金由托管专户划至甲方指定账户中。</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7.3</w:t>
      </w:r>
      <w:r>
        <w:rPr>
          <w:rFonts w:hint="eastAsia" w:cs="宋体"/>
          <w:color w:val="000000"/>
          <w:kern w:val="0"/>
          <w:sz w:val="24"/>
          <w:szCs w:val="20"/>
          <w:highlight w:val="none"/>
        </w:rPr>
        <w:t>投资资金的回收</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甲方保证，托管专户为甲方投资到期回收资金的唯一指定收款账户。</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7.</w:t>
      </w:r>
      <w:r>
        <w:rPr>
          <w:rFonts w:hint="eastAsia"/>
          <w:color w:val="000000"/>
          <w:kern w:val="0"/>
          <w:sz w:val="24"/>
          <w:szCs w:val="20"/>
          <w:highlight w:val="none"/>
        </w:rPr>
        <w:t>4</w:t>
      </w:r>
      <w:r>
        <w:rPr>
          <w:color w:val="000000"/>
          <w:kern w:val="0"/>
          <w:sz w:val="24"/>
          <w:szCs w:val="20"/>
          <w:highlight w:val="none"/>
        </w:rPr>
        <w:t xml:space="preserve"> </w:t>
      </w:r>
      <w:r>
        <w:rPr>
          <w:rFonts w:hint="eastAsia" w:cs="宋体"/>
          <w:color w:val="000000"/>
          <w:kern w:val="0"/>
          <w:sz w:val="24"/>
          <w:szCs w:val="20"/>
          <w:highlight w:val="none"/>
        </w:rPr>
        <w:t>理财产品到期清算</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7.</w:t>
      </w:r>
      <w:r>
        <w:rPr>
          <w:rFonts w:hint="eastAsia"/>
          <w:color w:val="000000"/>
          <w:kern w:val="0"/>
          <w:sz w:val="24"/>
          <w:szCs w:val="20"/>
          <w:highlight w:val="none"/>
        </w:rPr>
        <w:t>4</w:t>
      </w:r>
      <w:r>
        <w:rPr>
          <w:color w:val="000000"/>
          <w:kern w:val="0"/>
          <w:sz w:val="24"/>
          <w:szCs w:val="20"/>
          <w:highlight w:val="none"/>
        </w:rPr>
        <w:t>.1</w:t>
      </w:r>
      <w:r>
        <w:rPr>
          <w:rFonts w:hint="eastAsia" w:cs="宋体"/>
          <w:color w:val="000000"/>
          <w:kern w:val="0"/>
          <w:sz w:val="24"/>
          <w:szCs w:val="20"/>
          <w:highlight w:val="none"/>
        </w:rPr>
        <w:t>甲方应按照本协议第五条的相关内容在本理财产品到期日按时向乙方发送资金划款指令。</w:t>
      </w:r>
    </w:p>
    <w:p>
      <w:pPr>
        <w:tabs>
          <w:tab w:val="right" w:leader="dot" w:pos="284"/>
        </w:tabs>
        <w:snapToGrid w:val="0"/>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7.</w:t>
      </w:r>
      <w:r>
        <w:rPr>
          <w:rFonts w:hint="eastAsia"/>
          <w:color w:val="000000"/>
          <w:kern w:val="0"/>
          <w:sz w:val="24"/>
          <w:szCs w:val="20"/>
          <w:highlight w:val="none"/>
        </w:rPr>
        <w:t>4</w:t>
      </w:r>
      <w:r>
        <w:rPr>
          <w:color w:val="000000"/>
          <w:kern w:val="0"/>
          <w:sz w:val="24"/>
          <w:szCs w:val="20"/>
          <w:highlight w:val="none"/>
        </w:rPr>
        <w:t>.2</w:t>
      </w:r>
      <w:r>
        <w:rPr>
          <w:rFonts w:hint="eastAsia" w:cs="宋体"/>
          <w:color w:val="000000"/>
          <w:kern w:val="0"/>
          <w:sz w:val="24"/>
          <w:szCs w:val="20"/>
          <w:highlight w:val="none"/>
        </w:rPr>
        <w:t>乙方在收到甲方的指令后，应该按照本协议第五条的约定对指令进行表面一致性审核，审核无误的有效指令，在收到划款指令当日或下一工作日内将资金由托管专户划往甲方指定的账户。</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以上资金划转中如有资金汇划费用，由理财产品承担。乙方有权在按照划款指令进行资金划转的同时扣收。</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理财产品分期发行的，每期理财产品到期清算适用本条约定。</w:t>
      </w:r>
    </w:p>
    <w:p>
      <w:pPr>
        <w:tabs>
          <w:tab w:val="right" w:leader="dot" w:pos="284"/>
        </w:tabs>
        <w:snapToGrid w:val="0"/>
        <w:spacing w:line="420" w:lineRule="exact"/>
        <w:ind w:left="-426" w:leftChars="-203" w:right="424" w:rightChars="202" w:firstLine="568"/>
        <w:rPr>
          <w:rFonts w:cs="宋体"/>
          <w:color w:val="000000"/>
          <w:kern w:val="0"/>
          <w:sz w:val="24"/>
          <w:szCs w:val="20"/>
          <w:highlight w:val="none"/>
        </w:rPr>
      </w:pPr>
      <w:r>
        <w:rPr>
          <w:rFonts w:cs="宋体"/>
          <w:color w:val="000000"/>
          <w:kern w:val="0"/>
          <w:sz w:val="24"/>
          <w:szCs w:val="20"/>
          <w:highlight w:val="none"/>
        </w:rPr>
        <w:t>7.</w:t>
      </w:r>
      <w:r>
        <w:rPr>
          <w:rFonts w:hint="eastAsia" w:cs="宋体"/>
          <w:color w:val="000000"/>
          <w:kern w:val="0"/>
          <w:sz w:val="24"/>
          <w:szCs w:val="20"/>
          <w:highlight w:val="none"/>
        </w:rPr>
        <w:t>5理财产品提前终止时的清算</w:t>
      </w:r>
    </w:p>
    <w:p>
      <w:pPr>
        <w:tabs>
          <w:tab w:val="right" w:leader="dot" w:pos="284"/>
        </w:tabs>
        <w:snapToGrid w:val="0"/>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甲方应保证理财产品在提前终止日前三个工作日将该期理财产品项下所有资产变现。甲方应在理财产品提前终止日前三个工作日向乙方发送资金划款指令。乙方在收到甲方的指令后，应该对指令的表面真实性进行审核，审核无误的有效指令，应该立即按指令中明确的提前终止日，将资金由托管专户划往甲方指定账户。</w:t>
      </w:r>
    </w:p>
    <w:p>
      <w:pPr>
        <w:tabs>
          <w:tab w:val="right" w:leader="dot" w:pos="284"/>
        </w:tabs>
        <w:snapToGrid w:val="0"/>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理财产品分期发行的，每期理财产品提前终止时的清算适用本条约定。</w:t>
      </w:r>
    </w:p>
    <w:p>
      <w:pPr>
        <w:pStyle w:val="2"/>
        <w:tabs>
          <w:tab w:val="right" w:leader="dot" w:pos="284"/>
        </w:tabs>
        <w:spacing w:before="0" w:beforeLines="0" w:after="0" w:afterLines="0" w:line="360" w:lineRule="auto"/>
        <w:ind w:left="-426" w:leftChars="-203" w:right="424" w:rightChars="202" w:firstLine="568"/>
        <w:jc w:val="center"/>
        <w:rPr>
          <w:rFonts w:cs="宋体"/>
          <w:sz w:val="24"/>
          <w:szCs w:val="24"/>
          <w:highlight w:val="none"/>
        </w:rPr>
      </w:pPr>
      <w:bookmarkStart w:id="18" w:name="_Toc3720"/>
      <w:bookmarkStart w:id="19" w:name="_Toc382240762"/>
      <w:r>
        <w:rPr>
          <w:rFonts w:hint="eastAsia" w:cs="宋体"/>
          <w:sz w:val="24"/>
          <w:szCs w:val="24"/>
          <w:highlight w:val="none"/>
        </w:rPr>
        <w:t>第八条</w:t>
      </w:r>
      <w:r>
        <w:rPr>
          <w:rFonts w:cs="宋体"/>
          <w:sz w:val="24"/>
          <w:szCs w:val="24"/>
          <w:highlight w:val="none"/>
        </w:rPr>
        <w:t xml:space="preserve"> </w:t>
      </w:r>
      <w:r>
        <w:rPr>
          <w:rFonts w:hint="eastAsia" w:cs="宋体"/>
          <w:sz w:val="24"/>
          <w:szCs w:val="24"/>
          <w:highlight w:val="none"/>
        </w:rPr>
        <w:t>资产净值计算和会计核算</w:t>
      </w:r>
      <w:bookmarkEnd w:id="18"/>
      <w:bookmarkEnd w:id="19"/>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8.1 </w:t>
      </w:r>
      <w:r>
        <w:rPr>
          <w:rFonts w:hint="eastAsia" w:cs="宋体"/>
          <w:color w:val="000000"/>
          <w:kern w:val="0"/>
          <w:sz w:val="24"/>
          <w:szCs w:val="20"/>
          <w:highlight w:val="none"/>
        </w:rPr>
        <w:t>资产净值的计算、复核与完成的时间及程序</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资产净值是指理财产品资产总值减去负债后的金额。</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乙方</w:t>
      </w:r>
      <w:r>
        <w:rPr>
          <w:rFonts w:hint="eastAsia" w:cs="宋体"/>
          <w:color w:val="000000"/>
          <w:kern w:val="0"/>
          <w:sz w:val="24"/>
          <w:szCs w:val="20"/>
          <w:highlight w:val="none"/>
          <w:lang w:eastAsia="zh-CN"/>
        </w:rPr>
        <w:t>按甲方要求或监管规定</w:t>
      </w:r>
      <w:r>
        <w:rPr>
          <w:rFonts w:hint="eastAsia" w:cs="宋体"/>
          <w:color w:val="000000"/>
          <w:kern w:val="0"/>
          <w:sz w:val="24"/>
          <w:szCs w:val="20"/>
          <w:highlight w:val="none"/>
        </w:rPr>
        <w:t>定期计算理财产品资产净值，经甲方复核，由甲方按规定公告。</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8.2</w:t>
      </w:r>
      <w:r>
        <w:rPr>
          <w:rFonts w:hint="eastAsia" w:cs="宋体"/>
          <w:color w:val="000000"/>
          <w:kern w:val="0"/>
          <w:sz w:val="24"/>
          <w:szCs w:val="20"/>
          <w:highlight w:val="none"/>
        </w:rPr>
        <w:t>业务处理原则</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8.2.1</w:t>
      </w:r>
      <w:r>
        <w:rPr>
          <w:rFonts w:hint="eastAsia" w:cs="宋体"/>
          <w:color w:val="000000"/>
          <w:kern w:val="0"/>
          <w:sz w:val="24"/>
          <w:szCs w:val="20"/>
          <w:highlight w:val="none"/>
        </w:rPr>
        <w:t>理财产品的记账主体为理财产品，会计责任人为甲方。</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8.2.2</w:t>
      </w:r>
      <w:r>
        <w:rPr>
          <w:rFonts w:hint="eastAsia" w:cs="宋体"/>
          <w:color w:val="000000"/>
          <w:kern w:val="0"/>
          <w:sz w:val="24"/>
          <w:szCs w:val="20"/>
          <w:highlight w:val="none"/>
        </w:rPr>
        <w:t>甲乙双方对理财产品进行记账核算及估值。</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8.2.3</w:t>
      </w:r>
      <w:r>
        <w:rPr>
          <w:rFonts w:hint="eastAsia" w:cs="宋体"/>
          <w:color w:val="000000"/>
          <w:kern w:val="0"/>
          <w:sz w:val="24"/>
          <w:szCs w:val="20"/>
          <w:highlight w:val="none"/>
        </w:rPr>
        <w:t>对于理财产品通过信托、券商等投资银行间债券的，原则上按照所投资直接标的记账处理。</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8.3 </w:t>
      </w:r>
      <w:r>
        <w:rPr>
          <w:rFonts w:hint="eastAsia" w:cs="宋体"/>
          <w:color w:val="000000"/>
          <w:kern w:val="0"/>
          <w:sz w:val="24"/>
          <w:szCs w:val="20"/>
          <w:highlight w:val="none"/>
        </w:rPr>
        <w:t>理财产品资产估值方法和特殊情形的处理</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8.3.1 </w:t>
      </w:r>
      <w:r>
        <w:rPr>
          <w:rFonts w:hint="eastAsia" w:cs="宋体"/>
          <w:color w:val="000000"/>
          <w:kern w:val="0"/>
          <w:sz w:val="24"/>
          <w:szCs w:val="20"/>
          <w:highlight w:val="none"/>
        </w:rPr>
        <w:t>估值对象</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估值对象</w:t>
      </w:r>
      <w:r>
        <w:rPr>
          <w:rFonts w:hint="eastAsia" w:cs="宋体"/>
          <w:color w:val="000000"/>
          <w:kern w:val="0"/>
          <w:sz w:val="24"/>
          <w:szCs w:val="20"/>
          <w:highlight w:val="none"/>
          <w:lang w:eastAsia="zh-CN"/>
        </w:rPr>
        <w:t>为</w:t>
      </w:r>
      <w:r>
        <w:rPr>
          <w:rFonts w:hint="eastAsia" w:cs="宋体"/>
          <w:color w:val="000000"/>
          <w:kern w:val="0"/>
          <w:sz w:val="24"/>
          <w:szCs w:val="20"/>
          <w:highlight w:val="none"/>
        </w:rPr>
        <w:t>本理财产品所投资</w:t>
      </w:r>
      <w:r>
        <w:rPr>
          <w:rFonts w:hint="eastAsia" w:cs="宋体"/>
          <w:color w:val="000000"/>
          <w:kern w:val="0"/>
          <w:sz w:val="24"/>
          <w:szCs w:val="20"/>
          <w:highlight w:val="none"/>
          <w:lang w:eastAsia="zh-CN"/>
        </w:rPr>
        <w:t>标</w:t>
      </w:r>
      <w:r>
        <w:rPr>
          <w:rFonts w:hint="eastAsia" w:cs="宋体"/>
          <w:color w:val="000000"/>
          <w:kern w:val="0"/>
          <w:sz w:val="24"/>
          <w:szCs w:val="20"/>
          <w:highlight w:val="none"/>
        </w:rPr>
        <w:t>的</w:t>
      </w:r>
      <w:r>
        <w:rPr>
          <w:rFonts w:hint="eastAsia" w:cs="宋体"/>
          <w:color w:val="000000"/>
          <w:kern w:val="0"/>
          <w:sz w:val="24"/>
          <w:szCs w:val="20"/>
          <w:highlight w:val="none"/>
          <w:lang w:eastAsia="zh-CN"/>
        </w:rPr>
        <w:t>，包括但不限于</w:t>
      </w:r>
      <w:r>
        <w:rPr>
          <w:rFonts w:cs="宋体"/>
          <w:color w:val="000000"/>
          <w:kern w:val="0"/>
          <w:sz w:val="24"/>
          <w:szCs w:val="20"/>
          <w:highlight w:val="none"/>
          <w:shd w:val="clear" w:color="FFFFFF" w:fill="D9D9D9"/>
        </w:rPr>
        <w:fldChar w:fldCharType="begin">
          <w:ffData>
            <w:name w:val="Text3"/>
            <w:enabled/>
            <w:calcOnExit w:val="0"/>
            <w:textInput>
              <w:default w:val="国债、金融债、央行票据、企业债、短融、中票、私募债、存放同业、信贷资产、票据、贵金属、资产管理计划、信托计划、信托受益权"/>
            </w:textInput>
          </w:ffData>
        </w:fldChar>
      </w:r>
      <w:bookmarkStart w:id="20" w:name="Text3"/>
      <w:r>
        <w:rPr>
          <w:rFonts w:cs="宋体"/>
          <w:color w:val="000000"/>
          <w:kern w:val="0"/>
          <w:sz w:val="24"/>
          <w:szCs w:val="20"/>
          <w:highlight w:val="none"/>
          <w:shd w:val="clear" w:color="FFFFFF" w:fill="D9D9D9"/>
        </w:rPr>
        <w:instrText xml:space="preserve">FORMTEXT</w:instrText>
      </w:r>
      <w:r>
        <w:rPr>
          <w:rFonts w:cs="宋体"/>
          <w:color w:val="000000"/>
          <w:kern w:val="0"/>
          <w:sz w:val="24"/>
          <w:szCs w:val="20"/>
          <w:highlight w:val="none"/>
          <w:shd w:val="clear" w:color="FFFFFF" w:fill="D9D9D9"/>
        </w:rPr>
        <w:fldChar w:fldCharType="separate"/>
      </w:r>
      <w:r>
        <w:rPr>
          <w:rFonts w:cs="宋体"/>
          <w:color w:val="000000"/>
          <w:kern w:val="0"/>
          <w:sz w:val="24"/>
          <w:szCs w:val="20"/>
          <w:highlight w:val="none"/>
          <w:shd w:val="clear" w:color="FFFFFF" w:fill="D9D9D9"/>
        </w:rPr>
        <w:t>国债、金融债、央行票据、企业债、短融、中票、私募债、存放同业、信贷资产、票据、贵金属、资产管理计划、信托计划、信托受益权</w:t>
      </w:r>
      <w:r>
        <w:rPr>
          <w:rFonts w:cs="宋体"/>
          <w:color w:val="000000"/>
          <w:kern w:val="0"/>
          <w:sz w:val="24"/>
          <w:szCs w:val="20"/>
          <w:highlight w:val="none"/>
          <w:shd w:val="clear" w:color="FFFFFF" w:fill="D9D9D9"/>
        </w:rPr>
        <w:fldChar w:fldCharType="end"/>
      </w:r>
      <w:bookmarkEnd w:id="20"/>
      <w:r>
        <w:rPr>
          <w:rFonts w:hint="eastAsia" w:cs="宋体"/>
          <w:color w:val="000000"/>
          <w:kern w:val="0"/>
          <w:sz w:val="24"/>
          <w:szCs w:val="20"/>
          <w:highlight w:val="none"/>
        </w:rPr>
        <w:t>等。</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color w:val="000000"/>
          <w:kern w:val="0"/>
          <w:sz w:val="24"/>
          <w:szCs w:val="20"/>
          <w:highlight w:val="none"/>
        </w:rPr>
        <w:t>8.3.2</w:t>
      </w:r>
      <w:r>
        <w:rPr>
          <w:rFonts w:hint="eastAsia" w:cs="宋体"/>
          <w:color w:val="000000"/>
          <w:kern w:val="0"/>
          <w:sz w:val="24"/>
          <w:szCs w:val="20"/>
          <w:highlight w:val="none"/>
        </w:rPr>
        <w:t>估值方法</w:t>
      </w:r>
    </w:p>
    <w:p>
      <w:pPr>
        <w:tabs>
          <w:tab w:val="left" w:pos="1455"/>
        </w:tabs>
        <w:spacing w:line="420" w:lineRule="exact"/>
        <w:ind w:left="-424" w:leftChars="-202" w:right="424" w:rightChars="202" w:firstLine="600" w:firstLineChars="250"/>
        <w:rPr>
          <w:rFonts w:hint="eastAsia" w:eastAsia="宋体" w:cs="宋体"/>
          <w:color w:val="000000"/>
          <w:kern w:val="0"/>
          <w:sz w:val="24"/>
          <w:szCs w:val="20"/>
          <w:highlight w:val="none"/>
          <w:shd w:val="clear" w:color="FFFFFF" w:fill="D9D9D9"/>
          <w:lang w:eastAsia="zh-CN"/>
        </w:rPr>
      </w:pPr>
      <w:r>
        <w:rPr>
          <w:rFonts w:hint="eastAsia" w:cs="宋体"/>
          <w:color w:val="000000"/>
          <w:kern w:val="0"/>
          <w:sz w:val="24"/>
          <w:szCs w:val="20"/>
          <w:highlight w:val="none"/>
          <w:shd w:val="clear" w:color="FFFFFF" w:fill="D9D9D9"/>
        </w:rPr>
        <w:fldChar w:fldCharType="begin">
          <w:ffData>
            <w:enabled/>
            <w:calcOnExit w:val="0"/>
            <w:textInput/>
          </w:ffData>
        </w:fldChar>
      </w:r>
      <w:r>
        <w:rPr>
          <w:rFonts w:hint="eastAsia" w:cs="宋体"/>
          <w:color w:val="000000"/>
          <w:kern w:val="0"/>
          <w:sz w:val="24"/>
          <w:szCs w:val="20"/>
          <w:highlight w:val="none"/>
          <w:shd w:val="clear" w:color="FFFFFF" w:fill="D9D9D9"/>
        </w:rPr>
        <w:instrText xml:space="preserve">FORMTEXT</w:instrText>
      </w:r>
      <w:r>
        <w:rPr>
          <w:rFonts w:hint="eastAsia" w:cs="宋体"/>
          <w:color w:val="000000"/>
          <w:kern w:val="0"/>
          <w:sz w:val="24"/>
          <w:szCs w:val="20"/>
          <w:highlight w:val="none"/>
          <w:shd w:val="clear" w:color="FFFFFF" w:fill="D9D9D9"/>
        </w:rPr>
        <w:fldChar w:fldCharType="separate"/>
      </w:r>
      <w:r>
        <w:rPr>
          <w:rFonts w:hint="eastAsia" w:cs="宋体"/>
          <w:color w:val="000000"/>
          <w:kern w:val="0"/>
          <w:sz w:val="24"/>
          <w:szCs w:val="20"/>
          <w:highlight w:val="none"/>
          <w:shd w:val="clear" w:color="FFFFFF" w:fill="D9D9D9"/>
        </w:rPr>
        <w:t xml:space="preserve">8.3.2.1 </w:t>
      </w:r>
      <w:r>
        <w:rPr>
          <w:rFonts w:hint="eastAsia" w:ascii="Times New Roman" w:hAnsi="Times New Roman" w:eastAsia="宋体" w:cs="宋体"/>
          <w:b w:val="0"/>
          <w:i w:val="0"/>
          <w:caps w:val="0"/>
          <w:color w:val="000000"/>
          <w:spacing w:val="0"/>
          <w:kern w:val="0"/>
          <w:sz w:val="24"/>
          <w:szCs w:val="20"/>
          <w:highlight w:val="none"/>
          <w:lang w:eastAsia="zh-CN"/>
        </w:rPr>
        <w:t>估值方法</w:t>
      </w:r>
      <w:r>
        <w:rPr>
          <w:rFonts w:hint="eastAsia" w:ascii="Times New Roman" w:hAnsi="Times New Roman" w:eastAsia="宋体" w:cs="宋体"/>
          <w:b w:val="0"/>
          <w:i w:val="0"/>
          <w:caps w:val="0"/>
          <w:color w:val="000000"/>
          <w:spacing w:val="0"/>
          <w:kern w:val="0"/>
          <w:sz w:val="24"/>
          <w:szCs w:val="20"/>
          <w:highlight w:val="none"/>
        </w:rPr>
        <w:t>应当符合</w:t>
      </w:r>
      <w:r>
        <w:rPr>
          <w:rFonts w:hint="eastAsia" w:ascii="Times New Roman" w:hAnsi="Times New Roman" w:eastAsia="宋体" w:cs="宋体"/>
          <w:b w:val="0"/>
          <w:i w:val="0"/>
          <w:caps w:val="0"/>
          <w:color w:val="000000"/>
          <w:spacing w:val="0"/>
          <w:kern w:val="0"/>
          <w:sz w:val="24"/>
          <w:szCs w:val="20"/>
          <w:highlight w:val="none"/>
          <w:u w:val="none"/>
        </w:rPr>
        <w:fldChar w:fldCharType="begin"/>
      </w:r>
      <w:r>
        <w:rPr>
          <w:rFonts w:hint="eastAsia" w:ascii="Times New Roman" w:hAnsi="Times New Roman" w:eastAsia="宋体" w:cs="宋体"/>
          <w:b w:val="0"/>
          <w:i w:val="0"/>
          <w:caps w:val="0"/>
          <w:color w:val="000000"/>
          <w:spacing w:val="0"/>
          <w:kern w:val="0"/>
          <w:sz w:val="24"/>
          <w:szCs w:val="20"/>
          <w:highlight w:val="none"/>
          <w:u w:val="none"/>
        </w:rPr>
        <w:instrText xml:space="preserve"> HYPERLINK "http://gzlx.pkulaw.cn/javascript:SLC(6044,0)" </w:instrText>
      </w:r>
      <w:r>
        <w:rPr>
          <w:rFonts w:hint="eastAsia" w:ascii="Times New Roman" w:hAnsi="Times New Roman" w:eastAsia="宋体" w:cs="宋体"/>
          <w:b w:val="0"/>
          <w:i w:val="0"/>
          <w:caps w:val="0"/>
          <w:color w:val="000000"/>
          <w:spacing w:val="0"/>
          <w:kern w:val="0"/>
          <w:sz w:val="24"/>
          <w:szCs w:val="20"/>
          <w:highlight w:val="none"/>
          <w:u w:val="none"/>
        </w:rPr>
        <w:fldChar w:fldCharType="separate"/>
      </w:r>
      <w:r>
        <w:rPr>
          <w:rFonts w:hint="eastAsia" w:ascii="Times New Roman" w:hAnsi="Times New Roman" w:eastAsia="宋体" w:cs="宋体"/>
          <w:b w:val="0"/>
          <w:i w:val="0"/>
          <w:caps w:val="0"/>
          <w:color w:val="000000"/>
          <w:spacing w:val="0"/>
          <w:kern w:val="0"/>
          <w:sz w:val="24"/>
          <w:szCs w:val="20"/>
          <w:highlight w:val="none"/>
          <w:u w:val="none"/>
        </w:rPr>
        <w:t>企业会计准则</w:t>
      </w:r>
      <w:r>
        <w:rPr>
          <w:rFonts w:hint="eastAsia" w:ascii="Times New Roman" w:hAnsi="Times New Roman" w:eastAsia="宋体" w:cs="宋体"/>
          <w:b w:val="0"/>
          <w:i w:val="0"/>
          <w:caps w:val="0"/>
          <w:color w:val="000000"/>
          <w:spacing w:val="0"/>
          <w:kern w:val="0"/>
          <w:sz w:val="24"/>
          <w:szCs w:val="20"/>
          <w:highlight w:val="none"/>
          <w:u w:val="none"/>
        </w:rPr>
        <w:fldChar w:fldCharType="end"/>
      </w:r>
      <w:r>
        <w:rPr>
          <w:rFonts w:hint="eastAsia" w:ascii="Times New Roman" w:hAnsi="Times New Roman" w:eastAsia="宋体" w:cs="宋体"/>
          <w:b w:val="0"/>
          <w:i w:val="0"/>
          <w:caps w:val="0"/>
          <w:color w:val="000000"/>
          <w:spacing w:val="0"/>
          <w:kern w:val="0"/>
          <w:sz w:val="24"/>
          <w:szCs w:val="20"/>
          <w:highlight w:val="none"/>
        </w:rPr>
        <w:t>规定，</w:t>
      </w:r>
      <w:r>
        <w:rPr>
          <w:rFonts w:hint="eastAsia" w:cs="宋体"/>
          <w:b w:val="0"/>
          <w:i w:val="0"/>
          <w:caps w:val="0"/>
          <w:color w:val="000000"/>
          <w:spacing w:val="0"/>
          <w:kern w:val="0"/>
          <w:sz w:val="24"/>
          <w:szCs w:val="20"/>
          <w:highlight w:val="none"/>
          <w:lang w:eastAsia="zh-CN"/>
        </w:rPr>
        <w:t>按照公允价值计量原则，</w:t>
      </w:r>
      <w:r>
        <w:rPr>
          <w:rFonts w:hint="eastAsia" w:ascii="Times New Roman" w:hAnsi="Times New Roman" w:eastAsia="宋体" w:cs="宋体"/>
          <w:b w:val="0"/>
          <w:i w:val="0"/>
          <w:caps w:val="0"/>
          <w:color w:val="000000"/>
          <w:spacing w:val="0"/>
          <w:kern w:val="0"/>
          <w:sz w:val="24"/>
          <w:szCs w:val="20"/>
          <w:highlight w:val="none"/>
        </w:rPr>
        <w:t>及时反映资产的收益和风险</w:t>
      </w:r>
      <w:r>
        <w:rPr>
          <w:rFonts w:hint="eastAsia" w:cs="宋体"/>
          <w:b w:val="0"/>
          <w:i w:val="0"/>
          <w:caps w:val="0"/>
          <w:color w:val="000000"/>
          <w:spacing w:val="0"/>
          <w:kern w:val="0"/>
          <w:sz w:val="24"/>
          <w:szCs w:val="20"/>
          <w:highlight w:val="none"/>
          <w:lang w:eastAsia="zh-CN"/>
        </w:rPr>
        <w:t>；</w:t>
      </w:r>
    </w:p>
    <w:p>
      <w:pPr>
        <w:tabs>
          <w:tab w:val="left" w:pos="1455"/>
        </w:tabs>
        <w:spacing w:line="420" w:lineRule="exact"/>
        <w:ind w:left="-424" w:leftChars="-202" w:right="424" w:rightChars="202" w:firstLine="600" w:firstLineChars="250"/>
        <w:rPr>
          <w:rFonts w:hint="eastAsia" w:cs="宋体"/>
          <w:color w:val="000000"/>
          <w:kern w:val="0"/>
          <w:sz w:val="24"/>
          <w:szCs w:val="20"/>
          <w:highlight w:val="none"/>
          <w:shd w:val="clear" w:color="FFFFFF" w:fill="D9D9D9"/>
        </w:rPr>
      </w:pPr>
      <w:r>
        <w:rPr>
          <w:rFonts w:hint="eastAsia" w:cs="宋体"/>
          <w:color w:val="000000"/>
          <w:kern w:val="0"/>
          <w:sz w:val="24"/>
          <w:szCs w:val="20"/>
          <w:highlight w:val="none"/>
          <w:shd w:val="clear" w:color="FFFFFF" w:fill="D9D9D9"/>
          <w:lang w:val="en-US" w:eastAsia="zh-CN"/>
        </w:rPr>
        <w:t xml:space="preserve">8.3.2.2 </w:t>
      </w:r>
      <w:r>
        <w:rPr>
          <w:rFonts w:hint="eastAsia" w:cs="宋体"/>
          <w:color w:val="000000"/>
          <w:kern w:val="0"/>
          <w:sz w:val="24"/>
          <w:szCs w:val="20"/>
          <w:highlight w:val="none"/>
          <w:shd w:val="clear" w:color="FFFFFF" w:fill="D9D9D9"/>
        </w:rPr>
        <w:t>银行存款、存放同业，按照相关的利率每日计提应收利息，银行结息时，如有差异，以实际到账金额为准；</w:t>
      </w:r>
    </w:p>
    <w:p>
      <w:pPr>
        <w:tabs>
          <w:tab w:val="left" w:pos="1455"/>
        </w:tabs>
        <w:spacing w:line="420" w:lineRule="exact"/>
        <w:ind w:left="-424" w:leftChars="-202" w:right="424" w:rightChars="202" w:firstLine="600" w:firstLineChars="250"/>
        <w:rPr>
          <w:rFonts w:hint="eastAsia" w:cs="宋体"/>
          <w:color w:val="000000"/>
          <w:kern w:val="0"/>
          <w:sz w:val="24"/>
          <w:szCs w:val="20"/>
          <w:highlight w:val="none"/>
          <w:shd w:val="clear" w:color="FFFFFF" w:fill="D9D9D9"/>
        </w:rPr>
      </w:pPr>
      <w:r>
        <w:rPr>
          <w:rFonts w:hint="eastAsia" w:cs="宋体"/>
          <w:color w:val="000000"/>
          <w:kern w:val="0"/>
          <w:sz w:val="24"/>
          <w:szCs w:val="20"/>
          <w:highlight w:val="none"/>
          <w:shd w:val="clear" w:color="FFFFFF" w:fill="D9D9D9"/>
        </w:rPr>
        <w:t>8.3.2.</w:t>
      </w:r>
      <w:r>
        <w:rPr>
          <w:rFonts w:hint="eastAsia" w:cs="宋体"/>
          <w:color w:val="000000"/>
          <w:kern w:val="0"/>
          <w:sz w:val="24"/>
          <w:szCs w:val="20"/>
          <w:highlight w:val="none"/>
          <w:shd w:val="clear" w:color="FFFFFF" w:fill="D9D9D9"/>
          <w:lang w:val="en-US" w:eastAsia="zh-CN"/>
        </w:rPr>
        <w:t>3</w:t>
      </w:r>
      <w:r>
        <w:rPr>
          <w:rFonts w:hint="eastAsia" w:cs="宋体"/>
          <w:color w:val="000000"/>
          <w:kern w:val="0"/>
          <w:sz w:val="24"/>
          <w:szCs w:val="20"/>
          <w:highlight w:val="none"/>
          <w:shd w:val="clear" w:color="FFFFFF" w:fill="D9D9D9"/>
        </w:rPr>
        <w:t xml:space="preserve"> 票据、贵金属、资产管理计划、基金、信贷资产，按照成本法估值；</w:t>
      </w:r>
    </w:p>
    <w:p>
      <w:pPr>
        <w:tabs>
          <w:tab w:val="left" w:pos="1455"/>
        </w:tabs>
        <w:spacing w:line="420" w:lineRule="exact"/>
        <w:ind w:left="-424" w:leftChars="-202" w:right="424" w:rightChars="202" w:firstLine="600" w:firstLineChars="250"/>
        <w:rPr>
          <w:rFonts w:hint="eastAsia" w:cs="宋体"/>
          <w:color w:val="000000"/>
          <w:kern w:val="0"/>
          <w:sz w:val="24"/>
          <w:szCs w:val="20"/>
          <w:highlight w:val="none"/>
          <w:shd w:val="clear" w:color="FFFFFF" w:fill="D9D9D9"/>
        </w:rPr>
      </w:pPr>
      <w:r>
        <w:rPr>
          <w:rFonts w:hint="eastAsia" w:cs="宋体"/>
          <w:color w:val="000000"/>
          <w:kern w:val="0"/>
          <w:sz w:val="24"/>
          <w:szCs w:val="20"/>
          <w:highlight w:val="none"/>
          <w:shd w:val="clear" w:color="FFFFFF" w:fill="D9D9D9"/>
        </w:rPr>
        <w:t>8.3.2.</w:t>
      </w:r>
      <w:r>
        <w:rPr>
          <w:rFonts w:hint="eastAsia" w:cs="宋体"/>
          <w:color w:val="000000"/>
          <w:kern w:val="0"/>
          <w:sz w:val="24"/>
          <w:szCs w:val="20"/>
          <w:highlight w:val="none"/>
          <w:shd w:val="clear" w:color="FFFFFF" w:fill="D9D9D9"/>
          <w:lang w:val="en-US" w:eastAsia="zh-CN"/>
        </w:rPr>
        <w:t>4</w:t>
      </w:r>
      <w:r>
        <w:rPr>
          <w:rFonts w:hint="eastAsia" w:cs="宋体"/>
          <w:color w:val="000000"/>
          <w:kern w:val="0"/>
          <w:sz w:val="24"/>
          <w:szCs w:val="20"/>
          <w:highlight w:val="none"/>
          <w:shd w:val="clear" w:color="FFFFFF" w:fill="D9D9D9"/>
        </w:rPr>
        <w:t>拆借、买入返售等按照交易约定的利率计提利息；</w:t>
      </w:r>
    </w:p>
    <w:p>
      <w:pPr>
        <w:tabs>
          <w:tab w:val="left" w:pos="1455"/>
        </w:tabs>
        <w:spacing w:line="420" w:lineRule="exact"/>
        <w:ind w:left="-424" w:leftChars="-202" w:right="424" w:rightChars="202" w:firstLine="600" w:firstLineChars="250"/>
        <w:rPr>
          <w:rFonts w:hint="eastAsia" w:cs="宋体"/>
          <w:color w:val="000000"/>
          <w:kern w:val="0"/>
          <w:sz w:val="24"/>
          <w:szCs w:val="20"/>
          <w:highlight w:val="none"/>
          <w:shd w:val="clear" w:color="FFFFFF" w:fill="D9D9D9"/>
        </w:rPr>
      </w:pPr>
      <w:r>
        <w:rPr>
          <w:rFonts w:hint="eastAsia" w:cs="宋体"/>
          <w:color w:val="000000"/>
          <w:kern w:val="0"/>
          <w:sz w:val="24"/>
          <w:szCs w:val="20"/>
          <w:highlight w:val="none"/>
          <w:shd w:val="clear" w:color="FFFFFF" w:fill="D9D9D9"/>
        </w:rPr>
        <w:t>8.3.2.</w:t>
      </w:r>
      <w:r>
        <w:rPr>
          <w:rFonts w:hint="eastAsia" w:cs="宋体"/>
          <w:color w:val="000000"/>
          <w:kern w:val="0"/>
          <w:sz w:val="24"/>
          <w:szCs w:val="20"/>
          <w:highlight w:val="none"/>
          <w:shd w:val="clear" w:color="FFFFFF" w:fill="D9D9D9"/>
          <w:lang w:val="en-US" w:eastAsia="zh-CN"/>
        </w:rPr>
        <w:t>5</w:t>
      </w:r>
      <w:r>
        <w:rPr>
          <w:rFonts w:hint="eastAsia" w:cs="宋体"/>
          <w:color w:val="000000"/>
          <w:kern w:val="0"/>
          <w:sz w:val="24"/>
          <w:szCs w:val="20"/>
          <w:highlight w:val="none"/>
          <w:shd w:val="clear" w:color="FFFFFF" w:fill="D9D9D9"/>
        </w:rPr>
        <w:t>国债、金融债、央行票据、企业债、短融、中票、私募债等的估值方法：</w:t>
      </w:r>
    </w:p>
    <w:p>
      <w:pPr>
        <w:tabs>
          <w:tab w:val="left" w:pos="1455"/>
        </w:tabs>
        <w:spacing w:line="420" w:lineRule="exact"/>
        <w:ind w:left="-424" w:leftChars="-202" w:right="424" w:rightChars="202" w:firstLine="600" w:firstLineChars="250"/>
        <w:rPr>
          <w:rFonts w:hint="eastAsia" w:cs="宋体"/>
          <w:color w:val="000000"/>
          <w:kern w:val="0"/>
          <w:sz w:val="24"/>
          <w:szCs w:val="20"/>
          <w:highlight w:val="none"/>
          <w:shd w:val="clear" w:color="FFFFFF" w:fill="D9D9D9"/>
        </w:rPr>
      </w:pPr>
      <w:r>
        <w:rPr>
          <w:rFonts w:hint="eastAsia" w:cs="宋体"/>
          <w:color w:val="000000"/>
          <w:kern w:val="0"/>
          <w:sz w:val="24"/>
          <w:szCs w:val="20"/>
          <w:highlight w:val="none"/>
          <w:shd w:val="clear" w:color="FFFFFF" w:fill="D9D9D9"/>
        </w:rPr>
        <w:t>8.3.2.</w:t>
      </w:r>
      <w:r>
        <w:rPr>
          <w:rFonts w:hint="eastAsia" w:cs="宋体"/>
          <w:color w:val="000000"/>
          <w:kern w:val="0"/>
          <w:sz w:val="24"/>
          <w:szCs w:val="20"/>
          <w:highlight w:val="none"/>
          <w:shd w:val="clear" w:color="FFFFFF" w:fill="D9D9D9"/>
          <w:lang w:val="en-US" w:eastAsia="zh-CN"/>
        </w:rPr>
        <w:t>5</w:t>
      </w:r>
      <w:r>
        <w:rPr>
          <w:rFonts w:hint="eastAsia" w:cs="宋体"/>
          <w:color w:val="000000"/>
          <w:kern w:val="0"/>
          <w:sz w:val="24"/>
          <w:szCs w:val="20"/>
          <w:highlight w:val="none"/>
          <w:shd w:val="clear" w:color="FFFFFF" w:fill="D9D9D9"/>
        </w:rPr>
        <w:t>.1如果划分为持有到期投资，按实际利率用摊余成本法进行核算；</w:t>
      </w:r>
    </w:p>
    <w:p>
      <w:pPr>
        <w:tabs>
          <w:tab w:val="left" w:pos="1455"/>
        </w:tabs>
        <w:spacing w:line="420" w:lineRule="exact"/>
        <w:ind w:left="-424" w:leftChars="-202" w:right="424" w:rightChars="202" w:firstLine="600" w:firstLineChars="250"/>
        <w:rPr>
          <w:rFonts w:hint="eastAsia" w:cs="宋体"/>
          <w:color w:val="000000"/>
          <w:kern w:val="0"/>
          <w:sz w:val="24"/>
          <w:szCs w:val="20"/>
          <w:highlight w:val="none"/>
          <w:shd w:val="clear" w:color="FFFFFF" w:fill="D9D9D9"/>
        </w:rPr>
      </w:pPr>
      <w:r>
        <w:rPr>
          <w:rFonts w:hint="eastAsia" w:cs="宋体"/>
          <w:color w:val="000000"/>
          <w:kern w:val="0"/>
          <w:sz w:val="24"/>
          <w:szCs w:val="20"/>
          <w:highlight w:val="none"/>
          <w:shd w:val="clear" w:color="FFFFFF" w:fill="D9D9D9"/>
        </w:rPr>
        <w:t>8.3.2.</w:t>
      </w:r>
      <w:r>
        <w:rPr>
          <w:rFonts w:hint="eastAsia" w:cs="宋体"/>
          <w:color w:val="000000"/>
          <w:kern w:val="0"/>
          <w:sz w:val="24"/>
          <w:szCs w:val="20"/>
          <w:highlight w:val="none"/>
          <w:shd w:val="clear" w:color="FFFFFF" w:fill="D9D9D9"/>
          <w:lang w:val="en-US" w:eastAsia="zh-CN"/>
        </w:rPr>
        <w:t>5</w:t>
      </w:r>
      <w:r>
        <w:rPr>
          <w:rFonts w:hint="eastAsia" w:cs="宋体"/>
          <w:color w:val="000000"/>
          <w:kern w:val="0"/>
          <w:sz w:val="24"/>
          <w:szCs w:val="20"/>
          <w:highlight w:val="none"/>
          <w:shd w:val="clear" w:color="FFFFFF" w:fill="D9D9D9"/>
        </w:rPr>
        <w:t>.2如果划分为交易型金融资产，按照资产的公允价值进行核算；</w:t>
      </w:r>
    </w:p>
    <w:p>
      <w:pPr>
        <w:tabs>
          <w:tab w:val="left" w:pos="1455"/>
        </w:tabs>
        <w:spacing w:line="420" w:lineRule="exact"/>
        <w:ind w:left="-424" w:leftChars="-202" w:right="424" w:rightChars="202" w:firstLine="600" w:firstLineChars="250"/>
        <w:rPr>
          <w:rFonts w:hint="eastAsia" w:cs="宋体"/>
          <w:color w:val="000000"/>
          <w:kern w:val="0"/>
          <w:sz w:val="24"/>
          <w:szCs w:val="20"/>
          <w:highlight w:val="none"/>
          <w:shd w:val="clear" w:color="FFFFFF" w:fill="D9D9D9"/>
        </w:rPr>
      </w:pPr>
      <w:r>
        <w:rPr>
          <w:rFonts w:hint="eastAsia" w:cs="宋体"/>
          <w:color w:val="000000"/>
          <w:kern w:val="0"/>
          <w:sz w:val="24"/>
          <w:szCs w:val="20"/>
          <w:highlight w:val="none"/>
          <w:shd w:val="clear" w:color="FFFFFF" w:fill="D9D9D9"/>
        </w:rPr>
        <w:t>8.3.2.</w:t>
      </w:r>
      <w:r>
        <w:rPr>
          <w:rFonts w:hint="eastAsia" w:cs="宋体"/>
          <w:color w:val="000000"/>
          <w:kern w:val="0"/>
          <w:sz w:val="24"/>
          <w:szCs w:val="20"/>
          <w:highlight w:val="none"/>
          <w:shd w:val="clear" w:color="FFFFFF" w:fill="D9D9D9"/>
          <w:lang w:val="en-US" w:eastAsia="zh-CN"/>
        </w:rPr>
        <w:t>6</w:t>
      </w:r>
      <w:r>
        <w:rPr>
          <w:rFonts w:hint="eastAsia" w:cs="宋体"/>
          <w:color w:val="000000"/>
          <w:kern w:val="0"/>
          <w:sz w:val="24"/>
          <w:szCs w:val="20"/>
          <w:highlight w:val="none"/>
          <w:shd w:val="clear" w:color="FFFFFF" w:fill="D9D9D9"/>
        </w:rPr>
        <w:t>证券交易所上市的有价证券估值：</w:t>
      </w:r>
    </w:p>
    <w:p>
      <w:pPr>
        <w:tabs>
          <w:tab w:val="left" w:pos="1455"/>
        </w:tabs>
        <w:spacing w:line="420" w:lineRule="exact"/>
        <w:ind w:left="-424" w:leftChars="-202" w:right="424" w:rightChars="202" w:firstLine="600" w:firstLineChars="250"/>
        <w:rPr>
          <w:rFonts w:hint="eastAsia" w:cs="宋体"/>
          <w:color w:val="000000"/>
          <w:kern w:val="0"/>
          <w:sz w:val="24"/>
          <w:szCs w:val="20"/>
          <w:highlight w:val="none"/>
          <w:shd w:val="clear" w:color="FFFFFF" w:fill="D9D9D9"/>
        </w:rPr>
      </w:pPr>
      <w:r>
        <w:rPr>
          <w:rFonts w:hint="eastAsia" w:cs="宋体"/>
          <w:color w:val="000000"/>
          <w:kern w:val="0"/>
          <w:sz w:val="24"/>
          <w:szCs w:val="20"/>
          <w:highlight w:val="none"/>
          <w:shd w:val="clear" w:color="FFFFFF" w:fill="D9D9D9"/>
        </w:rPr>
        <w:t>交易所上市的有价证券（包括股票、债券等），按照交易日买卖成本进行估值，交易日有价证券的收盘市值作为偏离度计算的参考值。</w:t>
      </w:r>
    </w:p>
    <w:p>
      <w:pPr>
        <w:tabs>
          <w:tab w:val="left" w:pos="1455"/>
        </w:tabs>
        <w:spacing w:line="420" w:lineRule="exact"/>
        <w:ind w:left="-424" w:leftChars="-202" w:right="424" w:rightChars="202" w:firstLine="600" w:firstLineChars="250"/>
        <w:rPr>
          <w:rFonts w:hint="eastAsia" w:cs="宋体"/>
          <w:color w:val="000000"/>
          <w:kern w:val="0"/>
          <w:sz w:val="24"/>
          <w:szCs w:val="20"/>
          <w:highlight w:val="none"/>
          <w:shd w:val="clear" w:color="FFFFFF" w:fill="D9D9D9"/>
        </w:rPr>
      </w:pPr>
      <w:r>
        <w:rPr>
          <w:rFonts w:hint="eastAsia" w:cs="宋体"/>
          <w:color w:val="000000"/>
          <w:kern w:val="0"/>
          <w:sz w:val="24"/>
          <w:szCs w:val="20"/>
          <w:highlight w:val="none"/>
          <w:shd w:val="clear" w:color="FFFFFF" w:fill="D9D9D9"/>
        </w:rPr>
        <w:t>8.3.2.</w:t>
      </w:r>
      <w:r>
        <w:rPr>
          <w:rFonts w:hint="eastAsia" w:cs="宋体"/>
          <w:color w:val="000000"/>
          <w:kern w:val="0"/>
          <w:sz w:val="24"/>
          <w:szCs w:val="20"/>
          <w:highlight w:val="none"/>
          <w:shd w:val="clear" w:color="FFFFFF" w:fill="D9D9D9"/>
          <w:lang w:val="en-US" w:eastAsia="zh-CN"/>
        </w:rPr>
        <w:t>7</w:t>
      </w:r>
      <w:r>
        <w:rPr>
          <w:rFonts w:hint="eastAsia" w:cs="宋体"/>
          <w:color w:val="000000"/>
          <w:kern w:val="0"/>
          <w:sz w:val="24"/>
          <w:szCs w:val="20"/>
          <w:highlight w:val="none"/>
          <w:shd w:val="clear" w:color="FFFFFF" w:fill="D9D9D9"/>
        </w:rPr>
        <w:t>采用以上8.3.2.1项及8.3.2.5项约定的方法对本系列理财产品进行估值，被认为是采用了适当的估值方法。但是，如果甲方认为按8.3.2.1项及8.3.2.5项约定的方法对理财产品估值不能客观反映其价值的，甲方在综合考虑市场成交价、市场报价、流动性、收益率曲线等多种因素基础上，可根据具体情况与乙方商定后，按最能反映其价值的价格估值。</w:t>
      </w:r>
    </w:p>
    <w:p>
      <w:pPr>
        <w:tabs>
          <w:tab w:val="left" w:pos="1455"/>
        </w:tabs>
        <w:spacing w:line="420" w:lineRule="exact"/>
        <w:ind w:left="-424" w:leftChars="-202" w:right="424" w:rightChars="202" w:firstLine="600" w:firstLineChars="250"/>
        <w:rPr>
          <w:rFonts w:hint="eastAsia" w:cs="宋体"/>
          <w:color w:val="000000"/>
          <w:kern w:val="0"/>
          <w:sz w:val="24"/>
          <w:szCs w:val="20"/>
          <w:highlight w:val="none"/>
          <w:shd w:val="clear" w:color="FFFFFF" w:fill="D9D9D9"/>
        </w:rPr>
      </w:pPr>
      <w:r>
        <w:rPr>
          <w:rFonts w:hint="eastAsia" w:cs="宋体"/>
          <w:color w:val="000000"/>
          <w:kern w:val="0"/>
          <w:sz w:val="24"/>
          <w:szCs w:val="20"/>
          <w:highlight w:val="none"/>
          <w:shd w:val="clear" w:color="FFFFFF" w:fill="D9D9D9"/>
        </w:rPr>
        <w:t>8.3.2.</w:t>
      </w:r>
      <w:r>
        <w:rPr>
          <w:rFonts w:hint="eastAsia" w:cs="宋体"/>
          <w:color w:val="000000"/>
          <w:kern w:val="0"/>
          <w:sz w:val="24"/>
          <w:szCs w:val="20"/>
          <w:highlight w:val="none"/>
          <w:shd w:val="clear" w:color="FFFFFF" w:fill="D9D9D9"/>
          <w:lang w:val="en-US" w:eastAsia="zh-CN"/>
        </w:rPr>
        <w:t>8</w:t>
      </w:r>
      <w:r>
        <w:rPr>
          <w:rFonts w:hint="eastAsia" w:cs="宋体"/>
          <w:color w:val="000000"/>
          <w:kern w:val="0"/>
          <w:sz w:val="24"/>
          <w:szCs w:val="20"/>
          <w:highlight w:val="none"/>
          <w:shd w:val="clear" w:color="FFFFFF" w:fill="D9D9D9"/>
        </w:rPr>
        <w:t>其他资产的估值方法：【/】；</w:t>
      </w:r>
    </w:p>
    <w:p>
      <w:pPr>
        <w:tabs>
          <w:tab w:val="right" w:leader="dot" w:pos="284"/>
          <w:tab w:val="left" w:pos="8647"/>
        </w:tabs>
        <w:snapToGrid w:val="0"/>
        <w:spacing w:line="420" w:lineRule="exact"/>
        <w:ind w:right="424" w:rightChars="202" w:firstLine="120" w:firstLineChars="50"/>
        <w:rPr>
          <w:rFonts w:hint="eastAsia" w:cs="宋体"/>
          <w:color w:val="000000"/>
          <w:kern w:val="0"/>
          <w:sz w:val="24"/>
          <w:szCs w:val="20"/>
          <w:highlight w:val="none"/>
        </w:rPr>
      </w:pPr>
      <w:r>
        <w:rPr>
          <w:rFonts w:hint="eastAsia" w:cs="宋体"/>
          <w:color w:val="000000"/>
          <w:kern w:val="0"/>
          <w:sz w:val="24"/>
          <w:szCs w:val="20"/>
          <w:highlight w:val="none"/>
          <w:shd w:val="clear" w:color="FFFFFF" w:fill="D9D9D9"/>
        </w:rPr>
        <w:t>8.3.2.</w:t>
      </w:r>
      <w:r>
        <w:rPr>
          <w:rFonts w:hint="eastAsia" w:cs="宋体"/>
          <w:color w:val="000000"/>
          <w:kern w:val="0"/>
          <w:sz w:val="24"/>
          <w:szCs w:val="20"/>
          <w:highlight w:val="none"/>
          <w:shd w:val="clear" w:color="FFFFFF" w:fill="D9D9D9"/>
          <w:lang w:val="en-US" w:eastAsia="zh-CN"/>
        </w:rPr>
        <w:t>9</w:t>
      </w:r>
      <w:r>
        <w:rPr>
          <w:rFonts w:hint="eastAsia" w:cs="宋体"/>
          <w:color w:val="000000"/>
          <w:kern w:val="0"/>
          <w:sz w:val="24"/>
          <w:szCs w:val="20"/>
          <w:highlight w:val="none"/>
          <w:shd w:val="clear" w:color="FFFFFF" w:fill="D9D9D9"/>
        </w:rPr>
        <w:t>国家有最新规定的，按其规定进行估值。</w:t>
      </w:r>
      <w:r>
        <w:rPr>
          <w:rFonts w:cs="宋体"/>
          <w:color w:val="000000"/>
          <w:kern w:val="0"/>
          <w:sz w:val="24"/>
          <w:szCs w:val="20"/>
          <w:highlight w:val="none"/>
          <w:shd w:val="clear" w:color="FFFFFF" w:fill="D9D9D9"/>
        </w:rPr>
        <w:t> </w:t>
      </w:r>
      <w:r>
        <w:rPr>
          <w:rFonts w:hint="eastAsia" w:cs="宋体"/>
          <w:color w:val="000000"/>
          <w:kern w:val="0"/>
          <w:sz w:val="24"/>
          <w:szCs w:val="20"/>
          <w:highlight w:val="none"/>
          <w:shd w:val="clear" w:color="FFFFFF" w:fill="D9D9D9"/>
        </w:rPr>
        <w:fldChar w:fldCharType="end"/>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8.3.</w:t>
      </w:r>
      <w:r>
        <w:rPr>
          <w:rFonts w:cs="宋体"/>
          <w:color w:val="000000"/>
          <w:kern w:val="0"/>
          <w:sz w:val="24"/>
          <w:szCs w:val="20"/>
          <w:highlight w:val="none"/>
        </w:rPr>
        <w:t>3</w:t>
      </w:r>
      <w:r>
        <w:rPr>
          <w:rFonts w:hint="eastAsia" w:cs="宋体"/>
          <w:color w:val="000000"/>
          <w:kern w:val="0"/>
          <w:sz w:val="24"/>
          <w:szCs w:val="20"/>
          <w:highlight w:val="none"/>
        </w:rPr>
        <w:t>交易数据和估值数据传递</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对于场外日常交易数据的传递，甲方按照乙方提供的交易数据模版格式进行交易数据的加工并发送给乙方，乙方以此为准进行会计核算估值。乙方不承担甲方提供错误交易数据导致任何损失的责任。</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甲方应定期与乙方就估值数据通过电话或双方认可的方式进行核对。核对有误的应及时告知对方，双方共同查明原因，及时调整账务，直到一致。如果双方在合理期限内未能达成一致意见，则最终以甲方确认的数据为准，由于核对错误给委托人或理财财产造成的损失，乙方不承担任何形式的责任。</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8.3.4</w:t>
      </w:r>
      <w:r>
        <w:rPr>
          <w:rFonts w:hint="eastAsia" w:cs="宋体"/>
          <w:color w:val="000000"/>
          <w:kern w:val="0"/>
          <w:sz w:val="24"/>
          <w:szCs w:val="20"/>
          <w:highlight w:val="none"/>
        </w:rPr>
        <w:t>特殊情形的处理</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甲方、乙方</w:t>
      </w:r>
      <w:r>
        <w:rPr>
          <w:rFonts w:hint="eastAsia"/>
          <w:color w:val="000000"/>
          <w:sz w:val="24"/>
          <w:szCs w:val="20"/>
          <w:highlight w:val="none"/>
        </w:rPr>
        <w:t>按第8.3.2.3项</w:t>
      </w:r>
      <w:r>
        <w:rPr>
          <w:rFonts w:hint="eastAsia" w:cs="宋体"/>
          <w:color w:val="000000"/>
          <w:kern w:val="0"/>
          <w:sz w:val="24"/>
          <w:szCs w:val="20"/>
          <w:highlight w:val="none"/>
        </w:rPr>
        <w:t>进行估值时，所造成的误差不作为本系列理财产品份额净值错误处理。</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8.4</w:t>
      </w:r>
      <w:r>
        <w:rPr>
          <w:rFonts w:hint="eastAsia" w:cs="宋体"/>
          <w:color w:val="000000"/>
          <w:kern w:val="0"/>
          <w:sz w:val="24"/>
          <w:szCs w:val="20"/>
          <w:highlight w:val="none"/>
        </w:rPr>
        <w:t>理财产品份额净值错误的处理方式</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前述内容如法律法规或者监管部门另有规定的，从其规定。如果行业另有通行做法，双方当事人应本着平等和保护理财产品份额持有人利益的原则进行协商。</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8.5</w:t>
      </w:r>
      <w:r>
        <w:rPr>
          <w:rFonts w:hint="eastAsia" w:cs="宋体"/>
          <w:color w:val="000000"/>
          <w:kern w:val="0"/>
          <w:sz w:val="24"/>
          <w:szCs w:val="20"/>
          <w:highlight w:val="none"/>
        </w:rPr>
        <w:t>交易记录、资金和债券账目核对的时间和方式</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8.5.1</w:t>
      </w:r>
      <w:r>
        <w:rPr>
          <w:rFonts w:hint="eastAsia" w:cs="宋体"/>
          <w:color w:val="000000"/>
          <w:kern w:val="0"/>
          <w:sz w:val="24"/>
          <w:szCs w:val="20"/>
          <w:highlight w:val="none"/>
        </w:rPr>
        <w:t>交易记录的核对</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甲方按交易日进行交易记录的核对，交易日终时向乙方</w:t>
      </w:r>
      <w:r>
        <w:rPr>
          <w:rFonts w:hint="eastAsia" w:cs="宋体"/>
          <w:color w:val="000000"/>
          <w:kern w:val="0"/>
          <w:sz w:val="24"/>
          <w:szCs w:val="20"/>
          <w:highlight w:val="none"/>
          <w:lang w:eastAsia="zh-CN"/>
        </w:rPr>
        <w:t>以</w:t>
      </w:r>
      <w:r>
        <w:rPr>
          <w:rFonts w:hint="eastAsia" w:cs="宋体"/>
          <w:color w:val="000000"/>
          <w:sz w:val="24"/>
          <w:szCs w:val="20"/>
          <w:highlight w:val="none"/>
          <w:lang w:eastAsia="zh-CN"/>
        </w:rPr>
        <w:t>电子邮件方式发送</w:t>
      </w:r>
      <w:r>
        <w:rPr>
          <w:rFonts w:hint="eastAsia" w:cs="宋体"/>
          <w:color w:val="000000"/>
          <w:kern w:val="0"/>
          <w:sz w:val="24"/>
          <w:szCs w:val="20"/>
          <w:highlight w:val="none"/>
        </w:rPr>
        <w:t>当日所有投资资产的交易交割单及电子版的交易单据以供乙方核对及记帐。乙方定期向甲方提供理财产品的估值表，甲方必须据此核对交易信息，保证双方交易记录完全一致。甲方核对交易信息如果发现实际交易记录与估值表记录不一致，甲方应及时通知乙方，并在乙方的配合下，查明原因。</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由于甲方未履行交易记录核对义务，造成理财产品会计核算不完整或不真实，由此导致的损失由甲方承担。</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8.5.2</w:t>
      </w:r>
      <w:r>
        <w:rPr>
          <w:rFonts w:hint="eastAsia" w:cs="宋体"/>
          <w:color w:val="000000"/>
          <w:kern w:val="0"/>
          <w:sz w:val="24"/>
          <w:szCs w:val="20"/>
          <w:highlight w:val="none"/>
        </w:rPr>
        <w:t>资金账目的核对</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资金账目按交易日核实。</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8.5.3债</w:t>
      </w:r>
      <w:r>
        <w:rPr>
          <w:rFonts w:hint="eastAsia" w:cs="宋体"/>
          <w:color w:val="000000"/>
          <w:kern w:val="0"/>
          <w:sz w:val="24"/>
          <w:szCs w:val="20"/>
          <w:highlight w:val="none"/>
        </w:rPr>
        <w:t>券账目的核对</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甲方和乙方每交易日结束后核对理财产品债券账目（甲方每月末核对），确保双方账目相符。客户端理财产品甲方建立台帐，每日与乙方核对，确保双方帐目相符，余额相等。</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8.5.4</w:t>
      </w:r>
      <w:r>
        <w:rPr>
          <w:rFonts w:hint="eastAsia" w:cs="宋体"/>
          <w:color w:val="000000"/>
          <w:kern w:val="0"/>
          <w:sz w:val="24"/>
          <w:szCs w:val="20"/>
          <w:highlight w:val="none"/>
        </w:rPr>
        <w:t>其他资产账目的核对</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 xml:space="preserve">甲方和乙方每交易日结束后核对理财产品其他资产（包括但不限于票据、信托计划）账目，确保双方账目相符。 </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olor w:val="000000"/>
          <w:kern w:val="0"/>
          <w:sz w:val="24"/>
          <w:szCs w:val="20"/>
          <w:highlight w:val="none"/>
        </w:rPr>
        <w:t>8.6</w:t>
      </w:r>
      <w:r>
        <w:rPr>
          <w:rFonts w:hint="eastAsia" w:cs="宋体"/>
          <w:color w:val="000000"/>
          <w:kern w:val="0"/>
          <w:sz w:val="24"/>
          <w:szCs w:val="20"/>
          <w:highlight w:val="none"/>
        </w:rPr>
        <w:t>理财产品分期发行的，每期理财产品按照本条约定进行资产净值计算和会计核算。</w:t>
      </w:r>
    </w:p>
    <w:p>
      <w:pPr>
        <w:pStyle w:val="2"/>
        <w:tabs>
          <w:tab w:val="right" w:leader="dot" w:pos="284"/>
        </w:tabs>
        <w:spacing w:before="0" w:beforeLines="0" w:after="0" w:afterLines="0" w:line="360" w:lineRule="auto"/>
        <w:ind w:left="-426" w:leftChars="-203" w:right="424" w:rightChars="202" w:firstLine="568"/>
        <w:jc w:val="center"/>
        <w:rPr>
          <w:rFonts w:cs="宋体"/>
          <w:sz w:val="24"/>
          <w:szCs w:val="24"/>
          <w:highlight w:val="none"/>
        </w:rPr>
      </w:pPr>
      <w:bookmarkStart w:id="21" w:name="_Toc382240763"/>
      <w:bookmarkStart w:id="22" w:name="_Toc25496"/>
      <w:r>
        <w:rPr>
          <w:rFonts w:hint="eastAsia" w:cs="宋体"/>
          <w:sz w:val="24"/>
          <w:szCs w:val="24"/>
          <w:highlight w:val="none"/>
        </w:rPr>
        <w:t>第九条</w:t>
      </w:r>
      <w:r>
        <w:rPr>
          <w:rFonts w:cs="宋体"/>
          <w:sz w:val="24"/>
          <w:szCs w:val="24"/>
          <w:highlight w:val="none"/>
        </w:rPr>
        <w:t xml:space="preserve"> </w:t>
      </w:r>
      <w:r>
        <w:rPr>
          <w:rFonts w:hint="eastAsia" w:cs="宋体"/>
          <w:sz w:val="24"/>
          <w:szCs w:val="24"/>
          <w:highlight w:val="none"/>
        </w:rPr>
        <w:t xml:space="preserve"> 由理财产品承担的各项费用的核算及支付方法</w:t>
      </w:r>
      <w:bookmarkEnd w:id="21"/>
      <w:bookmarkEnd w:id="22"/>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9.1 </w:t>
      </w:r>
      <w:r>
        <w:rPr>
          <w:rFonts w:hint="eastAsia" w:cs="宋体"/>
          <w:color w:val="000000"/>
          <w:kern w:val="0"/>
          <w:sz w:val="24"/>
          <w:szCs w:val="20"/>
          <w:highlight w:val="none"/>
        </w:rPr>
        <w:t>理财产品税费的承担</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理财产品运作过程中的各类纳税主体，依照国家法律法规的规定，履行纳税义务。应当由理财产品承担的税费，按照法律法规及国家有关部门的规定办理。</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9.2 </w:t>
      </w:r>
      <w:r>
        <w:rPr>
          <w:rFonts w:hint="eastAsia" w:cs="宋体"/>
          <w:color w:val="000000"/>
          <w:kern w:val="0"/>
          <w:sz w:val="24"/>
          <w:szCs w:val="20"/>
          <w:highlight w:val="none"/>
        </w:rPr>
        <w:t>甲方管理费的计算及支付方法</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9.2.1</w:t>
      </w:r>
      <w:r>
        <w:rPr>
          <w:rFonts w:hint="eastAsia" w:cs="宋体"/>
          <w:color w:val="000000"/>
          <w:kern w:val="0"/>
          <w:sz w:val="24"/>
          <w:szCs w:val="20"/>
          <w:highlight w:val="none"/>
        </w:rPr>
        <w:t>甲方作为理财产品发行和管理人，有权按照理财协议书的约定收取理财产品销售手续费和管理费。</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9.3 </w:t>
      </w:r>
      <w:r>
        <w:rPr>
          <w:rFonts w:hint="eastAsia" w:cs="宋体"/>
          <w:color w:val="000000"/>
          <w:kern w:val="0"/>
          <w:sz w:val="24"/>
          <w:szCs w:val="20"/>
          <w:highlight w:val="none"/>
        </w:rPr>
        <w:t>托管费的计算及支付方法</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cs="宋体"/>
          <w:color w:val="000000"/>
          <w:kern w:val="0"/>
          <w:sz w:val="24"/>
          <w:szCs w:val="20"/>
          <w:highlight w:val="none"/>
        </w:rPr>
        <w:t>9.3.1</w:t>
      </w:r>
      <w:r>
        <w:rPr>
          <w:rFonts w:hint="eastAsia" w:cs="宋体"/>
          <w:color w:val="000000"/>
          <w:kern w:val="0"/>
          <w:sz w:val="24"/>
          <w:szCs w:val="20"/>
          <w:highlight w:val="none"/>
        </w:rPr>
        <w:t>乙方作为理财</w:t>
      </w:r>
      <w:r>
        <w:rPr>
          <w:rFonts w:hint="eastAsia" w:cs="宋体"/>
          <w:color w:val="000000"/>
          <w:kern w:val="0"/>
          <w:sz w:val="24"/>
          <w:szCs w:val="20"/>
          <w:highlight w:val="none"/>
          <w:lang w:eastAsia="zh-CN"/>
        </w:rPr>
        <w:t>计划</w:t>
      </w:r>
      <w:r>
        <w:rPr>
          <w:rFonts w:hint="eastAsia" w:cs="宋体"/>
          <w:color w:val="000000"/>
          <w:kern w:val="0"/>
          <w:sz w:val="24"/>
          <w:szCs w:val="20"/>
          <w:highlight w:val="none"/>
        </w:rPr>
        <w:t>托管人按托管协议提供托管服务，按照</w:t>
      </w:r>
      <w:r>
        <w:rPr>
          <w:rFonts w:hint="eastAsia" w:cs="宋体"/>
          <w:color w:val="000000"/>
          <w:kern w:val="0"/>
          <w:sz w:val="24"/>
          <w:szCs w:val="20"/>
          <w:highlight w:val="none"/>
          <w:lang w:eastAsia="zh-CN"/>
        </w:rPr>
        <w:t>下述</w:t>
      </w:r>
      <w:r>
        <w:rPr>
          <w:rFonts w:hint="eastAsia" w:cs="宋体"/>
          <w:color w:val="000000"/>
          <w:kern w:val="0"/>
          <w:sz w:val="24"/>
          <w:szCs w:val="20"/>
          <w:highlight w:val="none"/>
        </w:rPr>
        <w:t>约定收取托管费。</w:t>
      </w:r>
    </w:p>
    <w:p>
      <w:pPr>
        <w:tabs>
          <w:tab w:val="right" w:leader="dot" w:pos="284"/>
          <w:tab w:val="left" w:pos="1455"/>
        </w:tabs>
        <w:spacing w:line="420" w:lineRule="exact"/>
        <w:ind w:left="-426" w:leftChars="-203" w:right="424" w:rightChars="202" w:firstLine="568"/>
        <w:rPr>
          <w:rFonts w:hint="eastAsia"/>
          <w:color w:val="000000"/>
          <w:kern w:val="0"/>
          <w:sz w:val="24"/>
          <w:szCs w:val="20"/>
          <w:highlight w:val="none"/>
        </w:rPr>
      </w:pPr>
      <w:r>
        <w:rPr>
          <w:color w:val="000000"/>
          <w:kern w:val="0"/>
          <w:sz w:val="24"/>
          <w:szCs w:val="20"/>
          <w:highlight w:val="none"/>
        </w:rPr>
        <w:t>9.3.2</w:t>
      </w:r>
      <w:r>
        <w:rPr>
          <w:rFonts w:hint="eastAsia" w:cs="宋体"/>
          <w:color w:val="000000"/>
          <w:kern w:val="0"/>
          <w:sz w:val="24"/>
          <w:szCs w:val="20"/>
          <w:highlight w:val="none"/>
        </w:rPr>
        <w:t>托</w:t>
      </w:r>
      <w:r>
        <w:rPr>
          <w:rFonts w:hint="eastAsia"/>
          <w:color w:val="000000"/>
          <w:kern w:val="0"/>
          <w:sz w:val="24"/>
          <w:szCs w:val="20"/>
          <w:highlight w:val="none"/>
        </w:rPr>
        <w:t>管费的计算方法：</w:t>
      </w:r>
    </w:p>
    <w:p>
      <w:pPr>
        <w:tabs>
          <w:tab w:val="right" w:leader="dot" w:pos="284"/>
          <w:tab w:val="left" w:pos="1455"/>
        </w:tabs>
        <w:spacing w:line="420" w:lineRule="exact"/>
        <w:ind w:left="-426" w:leftChars="-203" w:right="424" w:rightChars="202" w:firstLine="568"/>
        <w:rPr>
          <w:rFonts w:hint="eastAsia"/>
          <w:color w:val="000000"/>
          <w:kern w:val="0"/>
          <w:sz w:val="24"/>
          <w:szCs w:val="20"/>
          <w:highlight w:val="none"/>
          <w:u w:val="single"/>
          <w:shd w:val="clear" w:color="FFFFFF" w:fill="D9D9D9"/>
          <w:lang w:val="en-US" w:eastAsia="zh-CN"/>
        </w:rPr>
      </w:pPr>
      <w:r>
        <w:rPr>
          <w:rFonts w:hint="eastAsia"/>
          <w:color w:val="000000"/>
          <w:kern w:val="0"/>
          <w:sz w:val="24"/>
          <w:szCs w:val="20"/>
          <w:highlight w:val="none"/>
          <w:u w:val="single"/>
          <w:shd w:val="clear" w:color="FFFFFF" w:fill="D9D9D9"/>
        </w:rPr>
        <w:fldChar w:fldCharType="begin">
          <w:ffData>
            <w:enabled/>
            <w:calcOnExit w:val="0"/>
            <w:textInput/>
          </w:ffData>
        </w:fldChar>
      </w:r>
      <w:r>
        <w:rPr>
          <w:rFonts w:hint="eastAsia"/>
          <w:color w:val="000000"/>
          <w:kern w:val="0"/>
          <w:sz w:val="24"/>
          <w:szCs w:val="20"/>
          <w:highlight w:val="none"/>
          <w:u w:val="single"/>
          <w:shd w:val="clear" w:color="FFFFFF" w:fill="D9D9D9"/>
        </w:rPr>
        <w:instrText xml:space="preserve">FORMTEXT</w:instrText>
      </w:r>
      <w:r>
        <w:rPr>
          <w:rFonts w:hint="eastAsia"/>
          <w:color w:val="000000"/>
          <w:kern w:val="0"/>
          <w:sz w:val="24"/>
          <w:szCs w:val="20"/>
          <w:highlight w:val="none"/>
          <w:u w:val="single"/>
          <w:shd w:val="clear" w:color="FFFFFF" w:fill="D9D9D9"/>
        </w:rPr>
        <w:fldChar w:fldCharType="separate"/>
      </w:r>
      <w:r>
        <w:rPr>
          <w:rFonts w:hint="eastAsia"/>
          <w:color w:val="000000"/>
          <w:kern w:val="0"/>
          <w:sz w:val="24"/>
          <w:szCs w:val="20"/>
          <w:highlight w:val="none"/>
          <w:u w:val="single"/>
          <w:shd w:val="clear" w:color="FFFFFF" w:fill="D9D9D9"/>
          <w:lang w:eastAsia="zh-CN"/>
        </w:rPr>
        <w:t>年托管费率为</w:t>
      </w:r>
      <w:r>
        <w:rPr>
          <w:rFonts w:hint="eastAsia"/>
          <w:color w:val="000000"/>
          <w:kern w:val="0"/>
          <w:sz w:val="24"/>
          <w:szCs w:val="20"/>
          <w:highlight w:val="none"/>
          <w:u w:val="single"/>
          <w:shd w:val="clear" w:color="FFFFFF" w:fill="D9D9D9"/>
          <w:lang w:val="en-US" w:eastAsia="zh-CN"/>
        </w:rPr>
        <w:t>0.01%</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rFonts w:hint="eastAsia"/>
          <w:color w:val="000000"/>
          <w:kern w:val="0"/>
          <w:sz w:val="24"/>
          <w:szCs w:val="20"/>
          <w:highlight w:val="none"/>
          <w:u w:val="single"/>
          <w:shd w:val="clear" w:color="FFFFFF" w:fill="D9D9D9"/>
        </w:rPr>
        <w:t>【当日计提的托管费=理财产品当日余额×托管年费率/365】</w:t>
      </w:r>
      <w:r>
        <w:rPr>
          <w:rFonts w:hint="eastAsia"/>
          <w:color w:val="000000"/>
          <w:kern w:val="0"/>
          <w:sz w:val="24"/>
          <w:szCs w:val="20"/>
          <w:highlight w:val="none"/>
          <w:u w:val="single"/>
          <w:shd w:val="clear" w:color="FFFFFF" w:fill="D9D9D9"/>
        </w:rPr>
        <w:fldChar w:fldCharType="end"/>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rFonts w:hint="eastAsia"/>
          <w:color w:val="000000"/>
          <w:kern w:val="0"/>
          <w:sz w:val="24"/>
          <w:szCs w:val="20"/>
          <w:highlight w:val="none"/>
        </w:rPr>
        <w:t>9.3.3托管费的支付方式：</w:t>
      </w:r>
    </w:p>
    <w:p>
      <w:pPr>
        <w:tabs>
          <w:tab w:val="right" w:leader="dot" w:pos="284"/>
          <w:tab w:val="left" w:pos="1455"/>
        </w:tabs>
        <w:spacing w:line="420" w:lineRule="exact"/>
        <w:ind w:left="-426" w:leftChars="-203" w:right="424" w:rightChars="202" w:firstLine="568"/>
        <w:rPr>
          <w:color w:val="000000"/>
          <w:kern w:val="0"/>
          <w:sz w:val="24"/>
          <w:szCs w:val="20"/>
          <w:highlight w:val="none"/>
        </w:rPr>
      </w:pPr>
      <w:r>
        <w:rPr>
          <w:rFonts w:hint="eastAsia"/>
          <w:color w:val="000000"/>
          <w:kern w:val="0"/>
          <w:sz w:val="24"/>
          <w:szCs w:val="20"/>
          <w:highlight w:val="none"/>
        </w:rPr>
        <w:t>甲方与乙方协商采用以下第</w:t>
      </w:r>
      <w:r>
        <w:rPr>
          <w:rFonts w:hint="eastAsia"/>
          <w:color w:val="000000"/>
          <w:kern w:val="0"/>
          <w:sz w:val="24"/>
          <w:szCs w:val="20"/>
          <w:highlight w:val="none"/>
        </w:rPr>
        <w:fldChar w:fldCharType="begin">
          <w:ffData>
            <w:enabled/>
            <w:calcOnExit w:val="0"/>
            <w:textInput/>
          </w:ffData>
        </w:fldChar>
      </w:r>
      <w:r>
        <w:rPr>
          <w:rFonts w:hint="eastAsia"/>
          <w:color w:val="000000"/>
          <w:kern w:val="0"/>
          <w:sz w:val="24"/>
          <w:szCs w:val="20"/>
          <w:highlight w:val="none"/>
        </w:rPr>
        <w:instrText xml:space="preserve">FORMTEXT</w:instrText>
      </w:r>
      <w:r>
        <w:rPr>
          <w:rFonts w:hint="eastAsia"/>
          <w:color w:val="000000"/>
          <w:kern w:val="0"/>
          <w:sz w:val="24"/>
          <w:szCs w:val="20"/>
          <w:highlight w:val="none"/>
        </w:rPr>
        <w:fldChar w:fldCharType="separate"/>
      </w:r>
      <w:r>
        <w:rPr>
          <w:color w:val="000000"/>
          <w:kern w:val="0"/>
          <w:sz w:val="24"/>
          <w:szCs w:val="20"/>
          <w:highlight w:val="none"/>
        </w:rPr>
        <w:t> </w:t>
      </w:r>
      <w:r>
        <w:rPr>
          <w:rFonts w:hint="eastAsia"/>
          <w:color w:val="000000"/>
          <w:kern w:val="0"/>
          <w:sz w:val="24"/>
          <w:szCs w:val="20"/>
          <w:highlight w:val="none"/>
          <w:lang w:eastAsia="zh-CN"/>
        </w:rPr>
        <w:t>一</w:t>
      </w:r>
      <w:r>
        <w:rPr>
          <w:rFonts w:hint="eastAsia"/>
          <w:color w:val="000000"/>
          <w:kern w:val="0"/>
          <w:sz w:val="24"/>
          <w:szCs w:val="20"/>
          <w:highlight w:val="none"/>
        </w:rPr>
        <w:fldChar w:fldCharType="end"/>
      </w:r>
      <w:r>
        <w:rPr>
          <w:rFonts w:hint="eastAsia"/>
          <w:color w:val="000000"/>
          <w:kern w:val="0"/>
          <w:sz w:val="24"/>
          <w:szCs w:val="20"/>
          <w:highlight w:val="none"/>
        </w:rPr>
        <w:t>种方式支付：</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支付方式一：</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托管费</w:t>
      </w:r>
      <w:r>
        <w:rPr>
          <w:rFonts w:hint="eastAsia" w:cs="宋体"/>
          <w:color w:val="000000"/>
          <w:kern w:val="0"/>
          <w:sz w:val="24"/>
          <w:szCs w:val="20"/>
          <w:highlight w:val="none"/>
          <w:lang w:eastAsia="zh-CN"/>
        </w:rPr>
        <w:t>自每期理财产品运作起始日起，按日计提</w:t>
      </w:r>
      <w:r>
        <w:rPr>
          <w:rFonts w:hint="eastAsia" w:cs="宋体"/>
          <w:color w:val="000000"/>
          <w:kern w:val="0"/>
          <w:sz w:val="24"/>
          <w:szCs w:val="20"/>
          <w:highlight w:val="none"/>
        </w:rPr>
        <w:t>，按每期产品托管的实际天数进行计算，于产品到期日提取托管费</w:t>
      </w:r>
      <w:r>
        <w:rPr>
          <w:rFonts w:hint="eastAsia" w:cs="宋体"/>
          <w:color w:val="000000"/>
          <w:kern w:val="0"/>
          <w:sz w:val="24"/>
          <w:szCs w:val="20"/>
          <w:highlight w:val="none"/>
          <w:lang w:eastAsia="zh-CN"/>
        </w:rPr>
        <w:t>，托管费的支付由乙方根据甲方出具划款指令，经乙方复核后从理财产品托管账户中支付。</w:t>
      </w:r>
    </w:p>
    <w:p>
      <w:pPr>
        <w:tabs>
          <w:tab w:val="right" w:leader="dot" w:pos="284"/>
          <w:tab w:val="left" w:pos="1455"/>
        </w:tabs>
        <w:spacing w:line="420" w:lineRule="exact"/>
        <w:ind w:left="-426" w:leftChars="-203" w:right="424" w:rightChars="202" w:firstLine="480" w:firstLineChars="200"/>
        <w:rPr>
          <w:rFonts w:cs="宋体"/>
          <w:color w:val="000000"/>
          <w:kern w:val="0"/>
          <w:sz w:val="24"/>
          <w:szCs w:val="20"/>
          <w:highlight w:val="none"/>
        </w:rPr>
      </w:pPr>
      <w:r>
        <w:rPr>
          <w:rFonts w:hint="eastAsia" w:cs="宋体"/>
          <w:color w:val="000000"/>
          <w:kern w:val="0"/>
          <w:sz w:val="24"/>
          <w:szCs w:val="20"/>
          <w:highlight w:val="none"/>
        </w:rPr>
        <w:t>支付方式二：甲方出具费用授权划付通知书，授权乙方按照授权通知书按自然季支付托管费，甲方不再于每季初向资产托管人发送划付指令。若因法定节假日、休息日，或战争、自然灾害等不可抗力致使无法按时支付的，则在不可抗力情形消除后的首个工作日支付。</w:t>
      </w:r>
    </w:p>
    <w:p>
      <w:pPr>
        <w:tabs>
          <w:tab w:val="right" w:leader="dot" w:pos="284"/>
          <w:tab w:val="left" w:pos="1455"/>
        </w:tabs>
        <w:spacing w:line="420" w:lineRule="exact"/>
        <w:ind w:right="424" w:rightChars="202"/>
        <w:rPr>
          <w:rFonts w:hint="eastAsia" w:cs="宋体"/>
          <w:color w:val="000000"/>
          <w:sz w:val="24"/>
          <w:szCs w:val="20"/>
          <w:highlight w:val="none"/>
          <w:u w:val="single"/>
          <w:shd w:val="clear" w:color="FFFFFF" w:fill="D9D9D9"/>
        </w:rPr>
      </w:pPr>
      <w:r>
        <w:rPr>
          <w:rFonts w:hint="eastAsia" w:cs="宋体"/>
          <w:color w:val="000000"/>
          <w:sz w:val="24"/>
          <w:szCs w:val="20"/>
          <w:highlight w:val="none"/>
          <w:u w:val="single"/>
          <w:shd w:val="clear" w:color="FFFFFF" w:fill="D9D9D9"/>
        </w:rPr>
        <w:t>托管手续费账户信息如下：</w:t>
      </w:r>
    </w:p>
    <w:p>
      <w:pPr>
        <w:tabs>
          <w:tab w:val="right" w:leader="dot" w:pos="284"/>
          <w:tab w:val="left" w:pos="1455"/>
        </w:tabs>
        <w:spacing w:line="420" w:lineRule="exact"/>
        <w:ind w:right="424" w:rightChars="202"/>
        <w:rPr>
          <w:rFonts w:hint="eastAsia" w:cs="宋体"/>
          <w:color w:val="000000"/>
          <w:sz w:val="24"/>
          <w:szCs w:val="20"/>
          <w:highlight w:val="none"/>
          <w:u w:val="single"/>
          <w:shd w:val="clear" w:color="FFFFFF" w:fill="D9D9D9"/>
        </w:rPr>
      </w:pPr>
      <w:r>
        <w:rPr>
          <w:rFonts w:hint="eastAsia" w:cs="宋体"/>
          <w:color w:val="000000"/>
          <w:sz w:val="24"/>
          <w:szCs w:val="20"/>
          <w:highlight w:val="none"/>
          <w:u w:val="single"/>
          <w:shd w:val="clear" w:color="FFFFFF" w:fill="D9D9D9"/>
        </w:rPr>
        <w:t>账户名称（接收托管费）：</w:t>
      </w:r>
      <w:r>
        <w:rPr>
          <w:rFonts w:hint="eastAsia" w:cs="宋体"/>
          <w:color w:val="000000"/>
          <w:kern w:val="0"/>
          <w:sz w:val="24"/>
          <w:szCs w:val="20"/>
          <w:highlight w:val="none"/>
          <w:u w:val="single"/>
          <w:shd w:val="clear" w:color="FFFFFF" w:fill="D9D9D9"/>
        </w:rPr>
        <w:t>他行发行银行理财产品托管费</w:t>
      </w:r>
    </w:p>
    <w:p>
      <w:pPr>
        <w:tabs>
          <w:tab w:val="right" w:leader="dot" w:pos="284"/>
          <w:tab w:val="left" w:pos="1455"/>
        </w:tabs>
        <w:spacing w:line="420" w:lineRule="exact"/>
        <w:ind w:right="424" w:rightChars="202"/>
        <w:rPr>
          <w:rFonts w:hint="eastAsia" w:cs="宋体"/>
          <w:color w:val="000000"/>
          <w:sz w:val="24"/>
          <w:szCs w:val="20"/>
          <w:highlight w:val="none"/>
          <w:u w:val="single"/>
          <w:shd w:val="clear" w:color="FFFFFF" w:fill="D9D9D9"/>
        </w:rPr>
      </w:pPr>
      <w:r>
        <w:rPr>
          <w:rFonts w:hint="eastAsia" w:cs="宋体"/>
          <w:color w:val="000000"/>
          <w:sz w:val="24"/>
          <w:szCs w:val="20"/>
          <w:highlight w:val="none"/>
          <w:u w:val="single"/>
          <w:shd w:val="clear" w:color="FFFFFF" w:fill="D9D9D9"/>
        </w:rPr>
        <w:t>账    号：</w:t>
      </w:r>
      <w:r>
        <w:rPr>
          <w:rFonts w:hint="eastAsia" w:cs="宋体"/>
          <w:color w:val="000000"/>
          <w:kern w:val="0"/>
          <w:sz w:val="24"/>
          <w:szCs w:val="20"/>
          <w:highlight w:val="none"/>
          <w:u w:val="single"/>
          <w:shd w:val="clear" w:color="FFFFFF" w:fill="D9D9D9"/>
        </w:rPr>
        <w:t>C110160</w:t>
      </w:r>
    </w:p>
    <w:p>
      <w:pPr>
        <w:tabs>
          <w:tab w:val="right" w:leader="dot" w:pos="284"/>
          <w:tab w:val="left" w:pos="1455"/>
        </w:tabs>
        <w:spacing w:line="420" w:lineRule="exact"/>
        <w:ind w:right="424" w:rightChars="202"/>
        <w:rPr>
          <w:rFonts w:hint="eastAsia" w:cs="宋体"/>
          <w:color w:val="000000"/>
          <w:sz w:val="24"/>
          <w:szCs w:val="20"/>
          <w:highlight w:val="none"/>
          <w:u w:val="single"/>
          <w:shd w:val="clear" w:color="FFFFFF" w:fill="D9D9D9"/>
        </w:rPr>
      </w:pPr>
      <w:r>
        <w:rPr>
          <w:rFonts w:hint="eastAsia" w:cs="宋体"/>
          <w:color w:val="000000"/>
          <w:sz w:val="24"/>
          <w:szCs w:val="20"/>
          <w:highlight w:val="none"/>
          <w:u w:val="single"/>
          <w:shd w:val="clear" w:color="FFFFFF" w:fill="D9D9D9"/>
        </w:rPr>
        <w:t>开户银行：中国民生银行</w:t>
      </w:r>
    </w:p>
    <w:p>
      <w:pPr>
        <w:tabs>
          <w:tab w:val="right" w:leader="dot" w:pos="284"/>
          <w:tab w:val="left" w:pos="1455"/>
        </w:tabs>
        <w:spacing w:line="420" w:lineRule="exact"/>
        <w:ind w:right="424" w:rightChars="202"/>
        <w:rPr>
          <w:rFonts w:cs="宋体"/>
          <w:color w:val="000000"/>
          <w:kern w:val="0"/>
          <w:sz w:val="24"/>
          <w:szCs w:val="20"/>
          <w:highlight w:val="none"/>
        </w:rPr>
      </w:pPr>
      <w:r>
        <w:rPr>
          <w:rFonts w:hint="eastAsia" w:cs="宋体"/>
          <w:color w:val="000000"/>
          <w:kern w:val="0"/>
          <w:sz w:val="24"/>
          <w:szCs w:val="20"/>
          <w:highlight w:val="none"/>
        </w:rPr>
        <w:t>理财产品延期时，托管费按理财产品实际存续天数计算。</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9.4 </w:t>
      </w:r>
      <w:r>
        <w:rPr>
          <w:rFonts w:hint="eastAsia" w:cs="宋体"/>
          <w:color w:val="000000"/>
          <w:kern w:val="0"/>
          <w:sz w:val="24"/>
          <w:szCs w:val="20"/>
          <w:highlight w:val="none"/>
        </w:rPr>
        <w:t>其他费用</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其他应该由理财产品承担的费用，乙方根据甲方出具的划款指令进行划拨，如甲方未按时出具划款指令，乙方可书面通知甲方出具划款指令。</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olor w:val="000000"/>
          <w:kern w:val="0"/>
          <w:sz w:val="24"/>
          <w:szCs w:val="20"/>
          <w:highlight w:val="none"/>
        </w:rPr>
        <w:t>9.5</w:t>
      </w:r>
      <w:r>
        <w:rPr>
          <w:rFonts w:hint="eastAsia" w:cs="宋体"/>
          <w:color w:val="000000"/>
          <w:kern w:val="0"/>
          <w:sz w:val="24"/>
          <w:szCs w:val="20"/>
          <w:highlight w:val="none"/>
        </w:rPr>
        <w:t>理财产品分期发行的，每期理财产品按照本条约定计算并支付费用。</w:t>
      </w:r>
    </w:p>
    <w:p>
      <w:pPr>
        <w:pStyle w:val="2"/>
        <w:tabs>
          <w:tab w:val="right" w:leader="dot" w:pos="284"/>
        </w:tabs>
        <w:spacing w:before="0" w:beforeLines="0" w:after="0" w:afterLines="0" w:line="360" w:lineRule="auto"/>
        <w:ind w:left="-426" w:leftChars="-203" w:right="424" w:rightChars="202" w:firstLine="568"/>
        <w:jc w:val="center"/>
        <w:rPr>
          <w:rFonts w:cs="宋体"/>
          <w:sz w:val="24"/>
          <w:szCs w:val="24"/>
          <w:highlight w:val="none"/>
        </w:rPr>
      </w:pPr>
      <w:bookmarkStart w:id="23" w:name="_Toc382240764"/>
      <w:bookmarkStart w:id="24" w:name="_Toc22352"/>
      <w:r>
        <w:rPr>
          <w:rFonts w:hint="eastAsia" w:cs="宋体"/>
          <w:sz w:val="24"/>
          <w:szCs w:val="24"/>
          <w:highlight w:val="none"/>
        </w:rPr>
        <w:t>第十条</w:t>
      </w:r>
      <w:r>
        <w:rPr>
          <w:rFonts w:cs="宋体"/>
          <w:sz w:val="24"/>
          <w:szCs w:val="24"/>
          <w:highlight w:val="none"/>
        </w:rPr>
        <w:t xml:space="preserve">  </w:t>
      </w:r>
      <w:r>
        <w:rPr>
          <w:rFonts w:hint="eastAsia" w:cs="宋体"/>
          <w:sz w:val="24"/>
          <w:szCs w:val="24"/>
          <w:highlight w:val="none"/>
        </w:rPr>
        <w:t>业务监督与核查</w:t>
      </w:r>
      <w:bookmarkEnd w:id="23"/>
      <w:bookmarkEnd w:id="24"/>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10.1</w:t>
      </w:r>
      <w:r>
        <w:rPr>
          <w:rFonts w:hint="eastAsia" w:cs="宋体"/>
          <w:color w:val="000000"/>
          <w:kern w:val="0"/>
          <w:sz w:val="24"/>
          <w:szCs w:val="20"/>
          <w:highlight w:val="none"/>
        </w:rPr>
        <w:t>甲方经与乙方协商后向乙方提供《监督事项表》（见附件五），乙方根据</w:t>
      </w:r>
      <w:r>
        <w:rPr>
          <w:rFonts w:hint="eastAsia" w:cs="宋体"/>
          <w:kern w:val="0"/>
          <w:sz w:val="24"/>
          <w:szCs w:val="20"/>
          <w:highlight w:val="none"/>
        </w:rPr>
        <w:t>监督事项表的有关内容</w:t>
      </w:r>
      <w:r>
        <w:rPr>
          <w:rFonts w:hint="eastAsia" w:cs="宋体"/>
          <w:color w:val="000000"/>
          <w:kern w:val="0"/>
          <w:sz w:val="24"/>
          <w:szCs w:val="20"/>
          <w:highlight w:val="none"/>
        </w:rPr>
        <w:t>对甲方的投资行为进行监督。</w:t>
      </w:r>
      <w:r>
        <w:rPr>
          <w:rFonts w:hint="eastAsia" w:cs="宋体"/>
          <w:kern w:val="0"/>
          <w:sz w:val="24"/>
          <w:szCs w:val="20"/>
          <w:highlight w:val="none"/>
        </w:rPr>
        <w:t>乙方按照《监督事项表》的约定履行了相应义务即完成了本协议项下的监督和核查义务。</w:t>
      </w:r>
    </w:p>
    <w:p>
      <w:pPr>
        <w:tabs>
          <w:tab w:val="right" w:leader="dot" w:pos="284"/>
          <w:tab w:val="left" w:pos="1455"/>
        </w:tabs>
        <w:spacing w:line="420" w:lineRule="exact"/>
        <w:ind w:left="-426" w:leftChars="-203" w:right="424" w:rightChars="202" w:firstLine="568"/>
        <w:rPr>
          <w:rFonts w:hint="eastAsia"/>
          <w:color w:val="000000"/>
          <w:kern w:val="0"/>
          <w:sz w:val="24"/>
          <w:szCs w:val="20"/>
          <w:highlight w:val="none"/>
          <w:lang w:val="en-US" w:eastAsia="zh-CN"/>
        </w:rPr>
      </w:pPr>
      <w:r>
        <w:rPr>
          <w:color w:val="000000"/>
          <w:kern w:val="0"/>
          <w:sz w:val="24"/>
          <w:szCs w:val="20"/>
          <w:highlight w:val="none"/>
        </w:rPr>
        <w:t>10.2</w:t>
      </w:r>
      <w:r>
        <w:rPr>
          <w:rFonts w:hint="eastAsia"/>
          <w:color w:val="000000"/>
          <w:kern w:val="0"/>
          <w:sz w:val="24"/>
          <w:szCs w:val="20"/>
          <w:highlight w:val="none"/>
          <w:lang w:val="en-US" w:eastAsia="zh-CN"/>
        </w:rPr>
        <w:t xml:space="preserve"> 在法律法规规定或监管机构的监管规则发生变化时，甲方可以对理财产品的监督内容进行调整，在与乙方协商一致后，将调整事项以书面方式及时告知乙方,并为新品种或新标准的托管流程设计和系统开发上线预留足够准备时间。</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10.</w:t>
      </w:r>
      <w:r>
        <w:rPr>
          <w:rFonts w:hint="eastAsia"/>
          <w:color w:val="000000"/>
          <w:kern w:val="0"/>
          <w:sz w:val="24"/>
          <w:szCs w:val="20"/>
          <w:highlight w:val="none"/>
          <w:lang w:val="en-US" w:eastAsia="zh-CN"/>
        </w:rPr>
        <w:t>3</w:t>
      </w:r>
      <w:r>
        <w:rPr>
          <w:rFonts w:hint="eastAsia" w:cs="宋体"/>
          <w:color w:val="000000"/>
          <w:kern w:val="0"/>
          <w:sz w:val="24"/>
          <w:szCs w:val="20"/>
          <w:highlight w:val="none"/>
        </w:rPr>
        <w:t>在甲方向乙方发出投资划款指令之前，应向乙方提供与该项投资相关的各项法律文件和资料，包括但不限于理财产品资金运用说明书及与该理财产品投资有关的合同、协议，所有文本需为正本或经与原件核对一致并加盖甲方预留印鉴的复印</w:t>
      </w:r>
      <w:r>
        <w:rPr>
          <w:rFonts w:hint="eastAsia" w:cs="宋体"/>
          <w:color w:val="000000"/>
          <w:kern w:val="0"/>
          <w:sz w:val="24"/>
          <w:szCs w:val="20"/>
          <w:highlight w:val="none"/>
          <w:lang w:eastAsia="zh-CN"/>
        </w:rPr>
        <w:t>件</w:t>
      </w:r>
      <w:r>
        <w:rPr>
          <w:rFonts w:hint="eastAsia" w:cs="宋体"/>
          <w:color w:val="000000"/>
          <w:kern w:val="0"/>
          <w:sz w:val="24"/>
          <w:szCs w:val="20"/>
          <w:highlight w:val="none"/>
        </w:rPr>
        <w:t>或</w:t>
      </w:r>
      <w:r>
        <w:rPr>
          <w:rFonts w:hint="eastAsia" w:cs="宋体"/>
          <w:color w:val="000000"/>
          <w:sz w:val="24"/>
          <w:szCs w:val="20"/>
          <w:highlight w:val="none"/>
          <w:lang w:eastAsia="zh-CN"/>
        </w:rPr>
        <w:t>电子邮件</w:t>
      </w:r>
      <w:r>
        <w:rPr>
          <w:rFonts w:hint="eastAsia" w:cs="宋体"/>
          <w:color w:val="000000"/>
          <w:kern w:val="0"/>
          <w:sz w:val="24"/>
          <w:szCs w:val="20"/>
          <w:highlight w:val="none"/>
        </w:rPr>
        <w:t>；若甲方不能完整提供上述文件，乙方将暂缓执行指令直至甲方补齐所有文件，乙方不承担任何形式的责任。</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10.</w:t>
      </w:r>
      <w:r>
        <w:rPr>
          <w:rFonts w:hint="eastAsia"/>
          <w:color w:val="000000"/>
          <w:kern w:val="0"/>
          <w:sz w:val="24"/>
          <w:szCs w:val="20"/>
          <w:highlight w:val="none"/>
          <w:lang w:val="en-US" w:eastAsia="zh-CN"/>
        </w:rPr>
        <w:t>4</w:t>
      </w:r>
      <w:r>
        <w:rPr>
          <w:rFonts w:hint="eastAsia" w:cs="宋体"/>
          <w:color w:val="000000"/>
          <w:kern w:val="0"/>
          <w:sz w:val="24"/>
          <w:szCs w:val="20"/>
          <w:highlight w:val="none"/>
        </w:rPr>
        <w:t>甲方应保证其所提供的上述与投资相关的各项法律文件的合法性、真实性、完整性、准确性和有效性，如因甲方提供的上述文件不合法、不真实、不完整、不准确或失去效力而影响乙方对监督事项表各项约定的的审核或给理财产品或任何第三人带来损失，乙方不承担任何形式的责任。</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10.</w:t>
      </w:r>
      <w:r>
        <w:rPr>
          <w:rFonts w:hint="eastAsia"/>
          <w:color w:val="000000"/>
          <w:kern w:val="0"/>
          <w:sz w:val="24"/>
          <w:szCs w:val="20"/>
          <w:highlight w:val="none"/>
          <w:lang w:val="en-US" w:eastAsia="zh-CN"/>
        </w:rPr>
        <w:t>5</w:t>
      </w:r>
      <w:r>
        <w:rPr>
          <w:rFonts w:hint="eastAsia" w:cs="宋体"/>
          <w:color w:val="000000"/>
          <w:kern w:val="0"/>
          <w:sz w:val="24"/>
          <w:szCs w:val="20"/>
          <w:highlight w:val="none"/>
        </w:rPr>
        <w:t>在乙方接收到本条第</w:t>
      </w:r>
      <w:r>
        <w:rPr>
          <w:color w:val="000000"/>
          <w:kern w:val="0"/>
          <w:sz w:val="24"/>
          <w:szCs w:val="20"/>
          <w:highlight w:val="none"/>
        </w:rPr>
        <w:t>10.3</w:t>
      </w:r>
      <w:r>
        <w:rPr>
          <w:rFonts w:hint="eastAsia" w:cs="宋体"/>
          <w:color w:val="000000"/>
          <w:kern w:val="0"/>
          <w:sz w:val="24"/>
          <w:szCs w:val="20"/>
          <w:highlight w:val="none"/>
        </w:rPr>
        <w:t>款所述与投资决策相关的各项法律文件和资料之后、执行划款指令之前，应审核该投资行为是否违背《监督事项表》</w:t>
      </w:r>
      <w:r>
        <w:rPr>
          <w:rFonts w:hint="eastAsia" w:cs="宋体"/>
          <w:color w:val="000000"/>
          <w:kern w:val="0"/>
          <w:sz w:val="24"/>
          <w:szCs w:val="20"/>
          <w:highlight w:val="none"/>
          <w:lang w:eastAsia="zh-CN"/>
        </w:rPr>
        <w:t>及本协议</w:t>
      </w:r>
      <w:r>
        <w:rPr>
          <w:rFonts w:hint="eastAsia" w:cs="宋体"/>
          <w:color w:val="000000"/>
          <w:kern w:val="0"/>
          <w:sz w:val="24"/>
          <w:szCs w:val="20"/>
          <w:highlight w:val="none"/>
        </w:rPr>
        <w:t>的各项约定</w:t>
      </w:r>
      <w:r>
        <w:rPr>
          <w:rFonts w:hint="eastAsia" w:cs="宋体"/>
          <w:color w:val="000000"/>
          <w:kern w:val="0"/>
          <w:sz w:val="24"/>
          <w:szCs w:val="20"/>
          <w:highlight w:val="none"/>
          <w:lang w:eastAsia="zh-CN"/>
        </w:rPr>
        <w:t>和监管规定</w:t>
      </w:r>
      <w:r>
        <w:rPr>
          <w:rFonts w:hint="eastAsia" w:cs="宋体"/>
          <w:color w:val="000000"/>
          <w:kern w:val="0"/>
          <w:sz w:val="24"/>
          <w:szCs w:val="20"/>
          <w:highlight w:val="none"/>
        </w:rPr>
        <w:t>。如果没有违背法律法规</w:t>
      </w:r>
      <w:r>
        <w:rPr>
          <w:rFonts w:hint="eastAsia" w:cs="宋体"/>
          <w:color w:val="000000"/>
          <w:kern w:val="0"/>
          <w:sz w:val="24"/>
          <w:szCs w:val="20"/>
          <w:highlight w:val="none"/>
          <w:lang w:eastAsia="zh-CN"/>
        </w:rPr>
        <w:t>监管</w:t>
      </w:r>
      <w:r>
        <w:rPr>
          <w:rFonts w:hint="eastAsia" w:cs="宋体"/>
          <w:color w:val="000000"/>
          <w:kern w:val="0"/>
          <w:sz w:val="24"/>
          <w:szCs w:val="20"/>
          <w:highlight w:val="none"/>
        </w:rPr>
        <w:t>规定及投资监督事项表</w:t>
      </w:r>
      <w:r>
        <w:rPr>
          <w:rFonts w:hint="eastAsia" w:cs="宋体"/>
          <w:color w:val="000000"/>
          <w:kern w:val="0"/>
          <w:sz w:val="24"/>
          <w:szCs w:val="20"/>
          <w:highlight w:val="none"/>
          <w:lang w:eastAsia="zh-CN"/>
        </w:rPr>
        <w:t>和本协议</w:t>
      </w:r>
      <w:r>
        <w:rPr>
          <w:rFonts w:hint="eastAsia" w:cs="宋体"/>
          <w:color w:val="000000"/>
          <w:kern w:val="0"/>
          <w:sz w:val="24"/>
          <w:szCs w:val="20"/>
          <w:highlight w:val="none"/>
        </w:rPr>
        <w:t>的各项约定，乙方应在划款指令送达后在指令指定的有效付款日期执行划款。</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10.</w:t>
      </w:r>
      <w:r>
        <w:rPr>
          <w:rFonts w:hint="eastAsia"/>
          <w:color w:val="000000"/>
          <w:kern w:val="0"/>
          <w:sz w:val="24"/>
          <w:szCs w:val="20"/>
          <w:highlight w:val="none"/>
          <w:lang w:val="en-US" w:eastAsia="zh-CN"/>
        </w:rPr>
        <w:t>6</w:t>
      </w:r>
      <w:r>
        <w:rPr>
          <w:rFonts w:hint="eastAsia" w:cs="宋体"/>
          <w:color w:val="000000"/>
          <w:kern w:val="0"/>
          <w:sz w:val="24"/>
          <w:szCs w:val="20"/>
          <w:highlight w:val="none"/>
        </w:rPr>
        <w:t>乙方发现划款指令违反法律法规</w:t>
      </w:r>
      <w:r>
        <w:rPr>
          <w:rFonts w:hint="eastAsia" w:cs="宋体"/>
          <w:color w:val="000000"/>
          <w:kern w:val="0"/>
          <w:sz w:val="24"/>
          <w:szCs w:val="20"/>
          <w:highlight w:val="none"/>
          <w:lang w:eastAsia="zh-CN"/>
        </w:rPr>
        <w:t>监管</w:t>
      </w:r>
      <w:r>
        <w:rPr>
          <w:rFonts w:hint="eastAsia" w:cs="宋体"/>
          <w:color w:val="000000"/>
          <w:kern w:val="0"/>
          <w:sz w:val="24"/>
          <w:szCs w:val="20"/>
          <w:highlight w:val="none"/>
        </w:rPr>
        <w:t>规定或《监督事项表》</w:t>
      </w:r>
      <w:r>
        <w:rPr>
          <w:rFonts w:hint="eastAsia" w:cs="宋体"/>
          <w:color w:val="000000"/>
          <w:kern w:val="0"/>
          <w:sz w:val="24"/>
          <w:szCs w:val="20"/>
          <w:highlight w:val="none"/>
          <w:lang w:eastAsia="zh-CN"/>
        </w:rPr>
        <w:t>和本协议</w:t>
      </w:r>
      <w:r>
        <w:rPr>
          <w:rFonts w:hint="eastAsia" w:cs="宋体"/>
          <w:color w:val="000000"/>
          <w:kern w:val="0"/>
          <w:sz w:val="24"/>
          <w:szCs w:val="20"/>
          <w:highlight w:val="none"/>
        </w:rPr>
        <w:t>有关约定的，应停止执行划款指令，并及时以书面提示函的方式通知甲方，指明违规事项。甲方收到提示函后应及时予以正式回函，并说明缘由。</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10.</w:t>
      </w:r>
      <w:r>
        <w:rPr>
          <w:rFonts w:hint="eastAsia"/>
          <w:color w:val="000000"/>
          <w:kern w:val="0"/>
          <w:sz w:val="24"/>
          <w:szCs w:val="20"/>
          <w:highlight w:val="none"/>
          <w:lang w:val="en-US" w:eastAsia="zh-CN"/>
        </w:rPr>
        <w:t>7</w:t>
      </w:r>
      <w:r>
        <w:rPr>
          <w:rFonts w:hint="eastAsia" w:cs="宋体"/>
          <w:color w:val="000000"/>
          <w:kern w:val="0"/>
          <w:sz w:val="24"/>
          <w:szCs w:val="20"/>
          <w:highlight w:val="none"/>
        </w:rPr>
        <w:t>如果甲方违反法律法规规定或《监督事项表》的约定进行投资并未按乙方的要求及时予以纠正，以及发生乙方认为可能对理财产品安全产生重大不利影响的情况时，乙方先书面通知甲方确认事实后，可向监管部门提交书面报告。</w:t>
      </w:r>
    </w:p>
    <w:p>
      <w:pPr>
        <w:pStyle w:val="2"/>
        <w:tabs>
          <w:tab w:val="right" w:leader="dot" w:pos="284"/>
        </w:tabs>
        <w:spacing w:before="0" w:beforeLines="0" w:after="0" w:afterLines="0" w:line="360" w:lineRule="auto"/>
        <w:ind w:left="-426" w:leftChars="-203" w:right="424" w:rightChars="202" w:firstLine="568"/>
        <w:jc w:val="center"/>
        <w:rPr>
          <w:rFonts w:cs="宋体"/>
          <w:sz w:val="24"/>
          <w:szCs w:val="24"/>
          <w:highlight w:val="none"/>
        </w:rPr>
      </w:pPr>
      <w:bookmarkStart w:id="25" w:name="_Toc19236"/>
      <w:bookmarkStart w:id="26" w:name="_Toc382240765"/>
      <w:r>
        <w:rPr>
          <w:rFonts w:hint="eastAsia" w:cs="宋体"/>
          <w:sz w:val="24"/>
          <w:szCs w:val="24"/>
          <w:highlight w:val="none"/>
        </w:rPr>
        <w:t>第十一条</w:t>
      </w:r>
      <w:r>
        <w:rPr>
          <w:rFonts w:cs="宋体"/>
          <w:sz w:val="24"/>
          <w:szCs w:val="24"/>
          <w:highlight w:val="none"/>
        </w:rPr>
        <w:t xml:space="preserve">  </w:t>
      </w:r>
      <w:r>
        <w:rPr>
          <w:rFonts w:hint="eastAsia" w:cs="宋体"/>
          <w:sz w:val="24"/>
          <w:szCs w:val="24"/>
          <w:highlight w:val="none"/>
        </w:rPr>
        <w:t>理财产品文件档案的保管</w:t>
      </w:r>
      <w:bookmarkEnd w:id="25"/>
      <w:bookmarkEnd w:id="26"/>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11.1</w:t>
      </w:r>
      <w:r>
        <w:rPr>
          <w:rFonts w:hint="eastAsia" w:cs="宋体"/>
          <w:color w:val="000000"/>
          <w:kern w:val="0"/>
          <w:sz w:val="24"/>
          <w:szCs w:val="20"/>
          <w:highlight w:val="none"/>
        </w:rPr>
        <w:t>理财产品有关的重大合同的保管</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甲方代表理财产品签署与理财产品投资有关的各类合同、协议，应及时将其中一份原件（或加盖甲方预留印鉴的复印件/</w:t>
      </w:r>
      <w:r>
        <w:rPr>
          <w:rFonts w:hint="eastAsia" w:cs="宋体"/>
          <w:color w:val="000000"/>
          <w:sz w:val="24"/>
          <w:szCs w:val="20"/>
          <w:highlight w:val="none"/>
          <w:lang w:eastAsia="zh-CN"/>
        </w:rPr>
        <w:t>电子邮件</w:t>
      </w:r>
      <w:r>
        <w:rPr>
          <w:rFonts w:hint="eastAsia" w:cs="宋体"/>
          <w:color w:val="000000"/>
          <w:kern w:val="0"/>
          <w:sz w:val="24"/>
          <w:szCs w:val="20"/>
          <w:highlight w:val="none"/>
        </w:rPr>
        <w:t>）送交乙方。</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与理财产品（包括财产权利、或有利益等）有关的行使依据的原件由甲方保管，乙方保存复印件。</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由于甲方代表理财产品签署与本理财产品投资有关的各类合同、协议本身产生的问题，由合同签署方负责处理，与乙方无关。</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11.2</w:t>
      </w:r>
      <w:r>
        <w:rPr>
          <w:rFonts w:hint="eastAsia" w:cs="宋体"/>
          <w:color w:val="000000"/>
          <w:kern w:val="0"/>
          <w:sz w:val="24"/>
          <w:szCs w:val="20"/>
          <w:highlight w:val="none"/>
        </w:rPr>
        <w:t>甲方和乙方应完整保存各自记录本托管协议项下理财产品经济活动的原始凭证、重要合同原件或复印件、记账凭证、集合计划账册、交易记录、财务报表等文件档案，保存期限为15年。</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11.3</w:t>
      </w:r>
      <w:r>
        <w:rPr>
          <w:rFonts w:hint="eastAsia" w:cs="宋体"/>
          <w:color w:val="000000"/>
          <w:kern w:val="0"/>
          <w:sz w:val="24"/>
          <w:szCs w:val="20"/>
          <w:highlight w:val="none"/>
        </w:rPr>
        <w:t>在本协议有效期内国家有关监管部门对上述文件和档案的保存做出明确规定的，按其规定执行并在规定执行之日起10个工作日内办理相关手续。</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 xml:space="preserve">11.4 </w:t>
      </w:r>
      <w:r>
        <w:rPr>
          <w:rFonts w:hint="eastAsia" w:cs="宋体"/>
          <w:color w:val="000000"/>
          <w:kern w:val="0"/>
          <w:sz w:val="24"/>
          <w:szCs w:val="20"/>
          <w:highlight w:val="none"/>
        </w:rPr>
        <w:t>如果乙方保管的文件资料及档案的复印件或</w:t>
      </w:r>
      <w:r>
        <w:rPr>
          <w:rFonts w:hint="eastAsia" w:cs="宋体"/>
          <w:color w:val="000000"/>
          <w:sz w:val="24"/>
          <w:szCs w:val="20"/>
          <w:highlight w:val="none"/>
          <w:lang w:eastAsia="zh-CN"/>
        </w:rPr>
        <w:t>电子邮件</w:t>
      </w:r>
      <w:r>
        <w:rPr>
          <w:rFonts w:hint="eastAsia" w:cs="宋体"/>
          <w:color w:val="000000"/>
          <w:kern w:val="0"/>
          <w:sz w:val="24"/>
          <w:szCs w:val="20"/>
          <w:highlight w:val="none"/>
        </w:rPr>
        <w:t>是由甲方提供的，甲方应对其真实性、准确性和完整性负责。</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11.5</w:t>
      </w:r>
      <w:r>
        <w:rPr>
          <w:rFonts w:hint="eastAsia" w:cs="宋体"/>
          <w:color w:val="000000"/>
          <w:kern w:val="0"/>
          <w:sz w:val="24"/>
          <w:szCs w:val="20"/>
          <w:highlight w:val="none"/>
        </w:rPr>
        <w:t>甲方和乙方分别建立和保管适合履行其职能并满足其内部管理需要的业务台账。</w:t>
      </w:r>
    </w:p>
    <w:p>
      <w:pPr>
        <w:pStyle w:val="2"/>
        <w:tabs>
          <w:tab w:val="right" w:leader="dot" w:pos="284"/>
        </w:tabs>
        <w:spacing w:before="0" w:beforeLines="0" w:after="0" w:afterLines="0" w:line="360" w:lineRule="auto"/>
        <w:ind w:left="-426" w:leftChars="-203" w:right="424" w:rightChars="202" w:firstLine="568"/>
        <w:jc w:val="center"/>
        <w:rPr>
          <w:rFonts w:cs="宋体"/>
          <w:sz w:val="24"/>
          <w:szCs w:val="24"/>
          <w:highlight w:val="none"/>
        </w:rPr>
      </w:pPr>
      <w:bookmarkStart w:id="27" w:name="_Toc382240766"/>
      <w:bookmarkStart w:id="28" w:name="_Toc19358"/>
      <w:r>
        <w:rPr>
          <w:rFonts w:hint="eastAsia" w:cs="宋体"/>
          <w:sz w:val="24"/>
          <w:szCs w:val="24"/>
          <w:highlight w:val="none"/>
        </w:rPr>
        <w:t>第十二条</w:t>
      </w:r>
      <w:r>
        <w:rPr>
          <w:rFonts w:cs="宋体"/>
          <w:sz w:val="24"/>
          <w:szCs w:val="24"/>
          <w:highlight w:val="none"/>
        </w:rPr>
        <w:t xml:space="preserve">  </w:t>
      </w:r>
      <w:r>
        <w:rPr>
          <w:rFonts w:hint="eastAsia" w:cs="宋体"/>
          <w:sz w:val="24"/>
          <w:szCs w:val="24"/>
          <w:highlight w:val="none"/>
        </w:rPr>
        <w:t>信息披露</w:t>
      </w:r>
      <w:bookmarkEnd w:id="27"/>
      <w:bookmarkEnd w:id="28"/>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color w:val="000000"/>
          <w:kern w:val="0"/>
          <w:sz w:val="24"/>
          <w:szCs w:val="20"/>
          <w:highlight w:val="none"/>
        </w:rPr>
        <w:t>12.1</w:t>
      </w:r>
      <w:r>
        <w:rPr>
          <w:rFonts w:hint="eastAsia" w:cs="宋体"/>
          <w:color w:val="000000"/>
          <w:kern w:val="0"/>
          <w:sz w:val="24"/>
          <w:szCs w:val="20"/>
          <w:highlight w:val="none"/>
        </w:rPr>
        <w:t>甲方负责按照《</w:t>
      </w:r>
      <w:r>
        <w:rPr>
          <w:rFonts w:cs="宋体"/>
          <w:color w:val="000000"/>
          <w:kern w:val="0"/>
          <w:sz w:val="24"/>
          <w:szCs w:val="20"/>
          <w:highlight w:val="none"/>
        </w:rPr>
        <w:fldChar w:fldCharType="begin"/>
      </w:r>
      <w:r>
        <w:rPr>
          <w:rFonts w:cs="宋体"/>
          <w:color w:val="000000"/>
          <w:kern w:val="0"/>
          <w:sz w:val="24"/>
          <w:szCs w:val="20"/>
          <w:highlight w:val="none"/>
        </w:rPr>
        <w:instrText xml:space="preserve"> HYPERLINK "javascript:SLC(60172,0)" </w:instrText>
      </w:r>
      <w:r>
        <w:rPr>
          <w:rFonts w:cs="宋体"/>
          <w:color w:val="000000"/>
          <w:kern w:val="0"/>
          <w:sz w:val="24"/>
          <w:szCs w:val="20"/>
          <w:highlight w:val="none"/>
        </w:rPr>
        <w:fldChar w:fldCharType="separate"/>
      </w:r>
      <w:r>
        <w:rPr>
          <w:rFonts w:hint="eastAsia" w:cs="宋体"/>
          <w:color w:val="000000"/>
          <w:kern w:val="0"/>
          <w:sz w:val="24"/>
          <w:szCs w:val="20"/>
          <w:highlight w:val="none"/>
        </w:rPr>
        <w:t>商业银行理财业务</w:t>
      </w:r>
      <w:r>
        <w:rPr>
          <w:rFonts w:hint="eastAsia" w:cs="宋体"/>
          <w:color w:val="000000"/>
          <w:kern w:val="0"/>
          <w:sz w:val="24"/>
          <w:szCs w:val="20"/>
          <w:highlight w:val="none"/>
          <w:lang w:eastAsia="zh-CN"/>
        </w:rPr>
        <w:t>监督</w:t>
      </w:r>
      <w:r>
        <w:rPr>
          <w:rFonts w:hint="eastAsia" w:cs="宋体"/>
          <w:color w:val="000000"/>
          <w:kern w:val="0"/>
          <w:sz w:val="24"/>
          <w:szCs w:val="20"/>
          <w:highlight w:val="none"/>
        </w:rPr>
        <w:t>管理办法</w:t>
      </w:r>
      <w:r>
        <w:rPr>
          <w:rFonts w:cs="宋体"/>
          <w:color w:val="000000"/>
          <w:kern w:val="0"/>
          <w:sz w:val="24"/>
          <w:szCs w:val="20"/>
          <w:highlight w:val="none"/>
        </w:rPr>
        <w:fldChar w:fldCharType="end"/>
      </w:r>
      <w:r>
        <w:rPr>
          <w:rFonts w:hint="eastAsia" w:cs="宋体"/>
          <w:color w:val="000000"/>
          <w:kern w:val="0"/>
          <w:sz w:val="24"/>
          <w:szCs w:val="20"/>
          <w:highlight w:val="none"/>
        </w:rPr>
        <w:t>》、</w:t>
      </w:r>
      <w:r>
        <w:rPr>
          <w:rFonts w:hint="eastAsia"/>
          <w:color w:val="000000"/>
          <w:sz w:val="24"/>
          <w:szCs w:val="20"/>
          <w:highlight w:val="none"/>
        </w:rPr>
        <w:t>《商业银行理财产品销售管理办法》、</w:t>
      </w:r>
      <w:r>
        <w:rPr>
          <w:rFonts w:hint="eastAsia" w:cs="宋体"/>
          <w:color w:val="000000"/>
          <w:kern w:val="0"/>
          <w:sz w:val="24"/>
          <w:szCs w:val="20"/>
          <w:highlight w:val="none"/>
        </w:rPr>
        <w:t>监管部门对理财产品的有关规定以及其它有关法律、法规及理财协议书的要求进行理财产品的信息披露。甲方需要披露与乙方有关的任何保密或涉及商业秘密的信息，均需事先经过乙方的复核及确认。</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cs="宋体"/>
          <w:color w:val="000000"/>
          <w:kern w:val="0"/>
          <w:sz w:val="24"/>
          <w:szCs w:val="20"/>
          <w:highlight w:val="none"/>
        </w:rPr>
        <w:t>12.2</w:t>
      </w:r>
      <w:r>
        <w:rPr>
          <w:rFonts w:hint="eastAsia" w:cs="宋体"/>
          <w:color w:val="000000"/>
          <w:kern w:val="0"/>
          <w:sz w:val="24"/>
          <w:szCs w:val="20"/>
          <w:highlight w:val="none"/>
        </w:rPr>
        <w:t>乙方应定期向甲方提供托管报告（格式见附件六），说明托管专户变动情况、托管职责的履行情况等。甲方对乙方的报告进行复核。甲方如对托管报告有异议，应在收到托管报告后的五个工作日内向乙方提出，双方协商直到达成一致。如在甲方收到托管报告两周内双方仍然未能达成一致意见，乙方可以书面报告当地监管部门</w:t>
      </w:r>
      <w:r>
        <w:rPr>
          <w:rFonts w:hint="eastAsia" w:cs="宋体"/>
          <w:color w:val="000000"/>
          <w:kern w:val="0"/>
          <w:sz w:val="24"/>
          <w:szCs w:val="20"/>
          <w:highlight w:val="none"/>
          <w:lang w:eastAsia="zh-CN"/>
        </w:rPr>
        <w:t>，甲方有权更换托管人</w:t>
      </w:r>
      <w:r>
        <w:rPr>
          <w:rFonts w:hint="eastAsia" w:cs="宋体"/>
          <w:color w:val="000000"/>
          <w:kern w:val="0"/>
          <w:sz w:val="24"/>
          <w:szCs w:val="20"/>
          <w:highlight w:val="none"/>
        </w:rPr>
        <w:t>。</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12.3</w:t>
      </w:r>
      <w:r>
        <w:rPr>
          <w:rFonts w:hint="eastAsia" w:cs="宋体"/>
          <w:color w:val="000000"/>
          <w:kern w:val="0"/>
          <w:sz w:val="24"/>
          <w:szCs w:val="20"/>
          <w:highlight w:val="none"/>
        </w:rPr>
        <w:t>甲方根据法律、法规及监管部门的要求需要披露除以上报告所包含内容以外的、与乙方有关的任何信息，均需先经过乙方的核对与确认。</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12.4</w:t>
      </w:r>
      <w:r>
        <w:rPr>
          <w:rFonts w:hint="eastAsia" w:cs="宋体"/>
          <w:color w:val="000000"/>
          <w:kern w:val="0"/>
          <w:sz w:val="24"/>
          <w:szCs w:val="20"/>
          <w:highlight w:val="none"/>
        </w:rPr>
        <w:t>乙方根据法律、法规及监管部门的要求需要披露除以上报告所包含内容以外的、与甲方有关的任何信息，均需先经过甲方的核对与确认。</w:t>
      </w:r>
    </w:p>
    <w:p>
      <w:pPr>
        <w:pStyle w:val="2"/>
        <w:tabs>
          <w:tab w:val="right" w:leader="dot" w:pos="284"/>
        </w:tabs>
        <w:spacing w:before="0" w:beforeLines="0" w:after="0" w:afterLines="0" w:line="360" w:lineRule="auto"/>
        <w:ind w:left="-426" w:leftChars="-203" w:right="424" w:rightChars="202" w:firstLine="568"/>
        <w:jc w:val="center"/>
        <w:rPr>
          <w:rFonts w:cs="宋体"/>
          <w:sz w:val="24"/>
          <w:szCs w:val="24"/>
          <w:highlight w:val="none"/>
        </w:rPr>
      </w:pPr>
      <w:bookmarkStart w:id="29" w:name="_Toc7034"/>
      <w:bookmarkStart w:id="30" w:name="_Toc382240767"/>
      <w:r>
        <w:rPr>
          <w:rFonts w:hint="eastAsia" w:cs="宋体"/>
          <w:sz w:val="24"/>
          <w:szCs w:val="24"/>
          <w:highlight w:val="none"/>
        </w:rPr>
        <w:t>第十三条</w:t>
      </w:r>
      <w:r>
        <w:rPr>
          <w:rFonts w:cs="宋体"/>
          <w:sz w:val="24"/>
          <w:szCs w:val="24"/>
          <w:highlight w:val="none"/>
        </w:rPr>
        <w:t xml:space="preserve">  </w:t>
      </w:r>
      <w:r>
        <w:rPr>
          <w:rFonts w:hint="eastAsia" w:cs="宋体"/>
          <w:sz w:val="24"/>
          <w:szCs w:val="24"/>
          <w:highlight w:val="none"/>
        </w:rPr>
        <w:t>保密条款</w:t>
      </w:r>
      <w:bookmarkEnd w:id="29"/>
      <w:bookmarkEnd w:id="30"/>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甲乙双方在此承诺：对于依据本协议所获得的所有关于对方资产状况、公司经营状况、理财产品客户信息、理财产品运作明细、托管运作明细等内容严格保密，并要求因履行本协议而知悉上述</w:t>
      </w:r>
      <w:r>
        <w:rPr>
          <w:rFonts w:hint="eastAsia" w:cs="宋体"/>
          <w:color w:val="000000"/>
          <w:kern w:val="0"/>
          <w:sz w:val="24"/>
          <w:szCs w:val="20"/>
          <w:highlight w:val="none"/>
          <w:lang w:eastAsia="zh-CN"/>
        </w:rPr>
        <w:t>信息和资料</w:t>
      </w:r>
      <w:r>
        <w:rPr>
          <w:rFonts w:hint="eastAsia" w:cs="宋体"/>
          <w:color w:val="000000"/>
          <w:kern w:val="0"/>
          <w:sz w:val="24"/>
          <w:szCs w:val="20"/>
          <w:highlight w:val="none"/>
        </w:rPr>
        <w:t>的人员以及其他任何有可能接触到上述</w:t>
      </w:r>
      <w:r>
        <w:rPr>
          <w:rFonts w:hint="eastAsia" w:cs="宋体"/>
          <w:color w:val="000000"/>
          <w:kern w:val="0"/>
          <w:sz w:val="24"/>
          <w:szCs w:val="20"/>
          <w:highlight w:val="none"/>
          <w:lang w:eastAsia="zh-CN"/>
        </w:rPr>
        <w:t>信息和资料</w:t>
      </w:r>
      <w:r>
        <w:rPr>
          <w:rFonts w:hint="eastAsia" w:cs="宋体"/>
          <w:color w:val="000000"/>
          <w:kern w:val="0"/>
          <w:sz w:val="24"/>
          <w:szCs w:val="20"/>
          <w:highlight w:val="none"/>
        </w:rPr>
        <w:t>的人员保守秘密。未经一方书面事先同意，另一方不得向第三方披露上述</w:t>
      </w:r>
      <w:r>
        <w:rPr>
          <w:rFonts w:hint="eastAsia" w:cs="宋体"/>
          <w:color w:val="000000"/>
          <w:kern w:val="0"/>
          <w:sz w:val="24"/>
          <w:szCs w:val="20"/>
          <w:highlight w:val="none"/>
          <w:lang w:eastAsia="zh-CN"/>
        </w:rPr>
        <w:t>信息和资料</w:t>
      </w:r>
      <w:r>
        <w:rPr>
          <w:rFonts w:hint="eastAsia" w:cs="宋体"/>
          <w:color w:val="000000"/>
          <w:kern w:val="0"/>
          <w:sz w:val="24"/>
          <w:szCs w:val="20"/>
          <w:highlight w:val="none"/>
        </w:rPr>
        <w:t>。但为履行本协议之目的向该方的中介机构、外部顾问、关联方披露，或根据国家有关法律法规规定或监管部门或一方作为上市公司的证券交易所要求的情况除外，但应要求该等中介机构、外部顾问、关联方保密。</w:t>
      </w:r>
    </w:p>
    <w:p>
      <w:pPr>
        <w:pStyle w:val="2"/>
        <w:tabs>
          <w:tab w:val="right" w:leader="dot" w:pos="284"/>
        </w:tabs>
        <w:spacing w:before="0" w:beforeLines="0" w:after="0" w:afterLines="0" w:line="360" w:lineRule="auto"/>
        <w:ind w:left="-426" w:leftChars="-203" w:right="424" w:rightChars="202" w:firstLine="568"/>
        <w:jc w:val="center"/>
        <w:rPr>
          <w:rFonts w:cs="宋体"/>
          <w:sz w:val="24"/>
          <w:szCs w:val="24"/>
          <w:highlight w:val="none"/>
        </w:rPr>
      </w:pPr>
      <w:bookmarkStart w:id="31" w:name="_Toc18553"/>
      <w:bookmarkStart w:id="32" w:name="_Toc382240768"/>
      <w:r>
        <w:rPr>
          <w:rFonts w:hint="eastAsia" w:cs="宋体"/>
          <w:sz w:val="24"/>
          <w:szCs w:val="24"/>
          <w:highlight w:val="none"/>
        </w:rPr>
        <w:t>第十四条</w:t>
      </w:r>
      <w:r>
        <w:rPr>
          <w:rFonts w:cs="宋体"/>
          <w:sz w:val="24"/>
          <w:szCs w:val="24"/>
          <w:highlight w:val="none"/>
        </w:rPr>
        <w:t xml:space="preserve">  </w:t>
      </w:r>
      <w:r>
        <w:rPr>
          <w:rFonts w:hint="eastAsia" w:cs="宋体"/>
          <w:sz w:val="24"/>
          <w:szCs w:val="24"/>
          <w:highlight w:val="none"/>
        </w:rPr>
        <w:t>违约责任</w:t>
      </w:r>
      <w:bookmarkEnd w:id="31"/>
      <w:bookmarkEnd w:id="32"/>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14.1</w:t>
      </w:r>
      <w:r>
        <w:rPr>
          <w:rFonts w:hint="eastAsia" w:cs="宋体"/>
          <w:color w:val="000000"/>
          <w:kern w:val="0"/>
          <w:sz w:val="24"/>
          <w:szCs w:val="20"/>
          <w:highlight w:val="none"/>
        </w:rPr>
        <w:t>本协议任何一方未能按本协议的约定履行各项义务均将被视为违约，违约方应承担因其违约行为给理财产品和协议对方造成的直接损失（包括但不限于诉讼费、律师费、差旅费等为实现权利而支付的费用）。如因甲方未按本协议的约定向乙方发送划款指令导致乙方未足额收到托管费的，甲方应向乙方支付该等托管费。但甲、乙双方仅在理财协议书和本协议约定的职责范围内承担各自的相应责任，而不因理财协议书和托管协议职责以外的事由与对方或第三方一起对外承担任何责任。</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14.2</w:t>
      </w:r>
      <w:r>
        <w:rPr>
          <w:rFonts w:hint="eastAsia" w:cs="宋体"/>
          <w:color w:val="000000"/>
          <w:kern w:val="0"/>
          <w:sz w:val="24"/>
          <w:szCs w:val="20"/>
          <w:highlight w:val="none"/>
        </w:rPr>
        <w:t>发生下列情况之一的，一方予以免责：</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14.2.1</w:t>
      </w:r>
      <w:r>
        <w:rPr>
          <w:rFonts w:hint="eastAsia" w:cs="宋体"/>
          <w:color w:val="000000"/>
          <w:kern w:val="0"/>
          <w:sz w:val="24"/>
          <w:szCs w:val="20"/>
          <w:highlight w:val="none"/>
        </w:rPr>
        <w:t>不可抗力；</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14.2.2</w:t>
      </w:r>
      <w:r>
        <w:rPr>
          <w:rFonts w:hint="eastAsia" w:cs="宋体"/>
          <w:color w:val="000000"/>
          <w:kern w:val="0"/>
          <w:sz w:val="24"/>
          <w:szCs w:val="20"/>
          <w:highlight w:val="none"/>
        </w:rPr>
        <w:t>甲方或乙方按照当时有效的法律、法规或监管部门的规定作为或不作为而造成的损失；</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14.2.3</w:t>
      </w:r>
      <w:r>
        <w:rPr>
          <w:rFonts w:hint="eastAsia" w:cs="宋体"/>
          <w:color w:val="000000"/>
          <w:kern w:val="0"/>
          <w:sz w:val="24"/>
          <w:szCs w:val="20"/>
          <w:highlight w:val="none"/>
        </w:rPr>
        <w:t>在没有欺诈或过失的情况下，甲方由于按照理财协议书约定的投资原则投资或不投资造成的损失；</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14.2.4</w:t>
      </w:r>
      <w:r>
        <w:rPr>
          <w:rFonts w:hint="eastAsia" w:cs="宋体"/>
          <w:color w:val="000000"/>
          <w:kern w:val="0"/>
          <w:sz w:val="24"/>
          <w:szCs w:val="20"/>
          <w:highlight w:val="none"/>
        </w:rPr>
        <w:t>在没有欺诈或过失的情况下，乙方执行甲方的生效指令对理财资金造成的损失。</w:t>
      </w:r>
    </w:p>
    <w:p>
      <w:pPr>
        <w:pStyle w:val="2"/>
        <w:tabs>
          <w:tab w:val="right" w:leader="dot" w:pos="284"/>
        </w:tabs>
        <w:spacing w:before="0" w:beforeLines="0" w:after="0" w:afterLines="0" w:line="360" w:lineRule="auto"/>
        <w:ind w:left="-426" w:leftChars="-203" w:right="424" w:rightChars="202" w:firstLine="568"/>
        <w:jc w:val="center"/>
        <w:rPr>
          <w:rFonts w:cs="宋体"/>
          <w:sz w:val="24"/>
          <w:szCs w:val="24"/>
          <w:highlight w:val="none"/>
        </w:rPr>
      </w:pPr>
      <w:bookmarkStart w:id="33" w:name="_Toc31345"/>
      <w:bookmarkStart w:id="34" w:name="_Toc382240769"/>
      <w:r>
        <w:rPr>
          <w:rFonts w:hint="eastAsia" w:cs="宋体"/>
          <w:sz w:val="24"/>
          <w:szCs w:val="24"/>
          <w:highlight w:val="none"/>
        </w:rPr>
        <w:t xml:space="preserve">第十五条 </w:t>
      </w:r>
      <w:r>
        <w:rPr>
          <w:rFonts w:cs="宋体"/>
          <w:sz w:val="24"/>
          <w:szCs w:val="24"/>
          <w:highlight w:val="none"/>
        </w:rPr>
        <w:t xml:space="preserve"> </w:t>
      </w:r>
      <w:r>
        <w:rPr>
          <w:rFonts w:hint="eastAsia" w:cs="宋体"/>
          <w:sz w:val="24"/>
          <w:szCs w:val="24"/>
          <w:highlight w:val="none"/>
        </w:rPr>
        <w:t>协议生效和终止</w:t>
      </w:r>
      <w:bookmarkEnd w:id="33"/>
      <w:bookmarkEnd w:id="34"/>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color w:val="000000"/>
          <w:kern w:val="0"/>
          <w:sz w:val="24"/>
          <w:szCs w:val="20"/>
          <w:highlight w:val="none"/>
        </w:rPr>
        <w:t xml:space="preserve">15.1 </w:t>
      </w:r>
      <w:r>
        <w:rPr>
          <w:rFonts w:hint="eastAsia" w:cs="宋体"/>
          <w:color w:val="000000"/>
          <w:kern w:val="0"/>
          <w:sz w:val="24"/>
          <w:szCs w:val="20"/>
          <w:highlight w:val="none"/>
        </w:rPr>
        <w:t>本协议自甲、乙双方法定代表人/负责人或授权代理人签字或签章并加盖公章或合同章之日起生效。</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color w:val="000000"/>
          <w:kern w:val="0"/>
          <w:sz w:val="24"/>
          <w:szCs w:val="20"/>
          <w:highlight w:val="none"/>
        </w:rPr>
        <w:t xml:space="preserve">15.2 </w:t>
      </w:r>
      <w:r>
        <w:rPr>
          <w:rFonts w:hint="eastAsia" w:cs="宋体"/>
          <w:color w:val="000000"/>
          <w:kern w:val="0"/>
          <w:sz w:val="24"/>
          <w:szCs w:val="20"/>
          <w:highlight w:val="none"/>
        </w:rPr>
        <w:t>在本协议</w:t>
      </w:r>
      <w:r>
        <w:rPr>
          <w:rFonts w:hint="eastAsia" w:cs="宋体"/>
          <w:color w:val="000000"/>
          <w:kern w:val="0"/>
          <w:sz w:val="24"/>
          <w:szCs w:val="20"/>
          <w:highlight w:val="none"/>
          <w:lang w:eastAsia="zh-CN"/>
        </w:rPr>
        <w:t>委托期限</w:t>
      </w:r>
      <w:r>
        <w:rPr>
          <w:rFonts w:hint="eastAsia" w:cs="宋体"/>
          <w:color w:val="000000"/>
          <w:kern w:val="0"/>
          <w:sz w:val="24"/>
          <w:szCs w:val="20"/>
          <w:highlight w:val="none"/>
        </w:rPr>
        <w:t>内，任何一方不得单方终止本协议</w:t>
      </w:r>
      <w:r>
        <w:rPr>
          <w:rFonts w:hint="eastAsia" w:cs="宋体"/>
          <w:color w:val="000000"/>
          <w:kern w:val="0"/>
          <w:sz w:val="24"/>
          <w:szCs w:val="20"/>
          <w:highlight w:val="none"/>
          <w:lang w:eastAsia="zh-CN"/>
        </w:rPr>
        <w:t>，但本协议另有约定除外</w:t>
      </w:r>
      <w:r>
        <w:rPr>
          <w:rFonts w:hint="eastAsia" w:cs="宋体"/>
          <w:color w:val="000000"/>
          <w:kern w:val="0"/>
          <w:sz w:val="24"/>
          <w:szCs w:val="20"/>
          <w:highlight w:val="none"/>
        </w:rPr>
        <w:t>。</w:t>
      </w:r>
    </w:p>
    <w:p>
      <w:pPr>
        <w:pStyle w:val="2"/>
        <w:tabs>
          <w:tab w:val="right" w:leader="dot" w:pos="284"/>
        </w:tabs>
        <w:spacing w:before="0" w:beforeLines="0" w:after="0" w:afterLines="0" w:line="360" w:lineRule="auto"/>
        <w:ind w:left="-426" w:leftChars="-203" w:right="424" w:rightChars="202" w:firstLine="568"/>
        <w:jc w:val="center"/>
        <w:rPr>
          <w:rFonts w:cs="宋体"/>
          <w:sz w:val="24"/>
          <w:szCs w:val="24"/>
          <w:highlight w:val="none"/>
        </w:rPr>
      </w:pPr>
      <w:bookmarkStart w:id="35" w:name="_Toc19869"/>
      <w:bookmarkStart w:id="36" w:name="_Toc382240770"/>
      <w:r>
        <w:rPr>
          <w:rFonts w:hint="eastAsia" w:cs="宋体"/>
          <w:sz w:val="24"/>
          <w:szCs w:val="24"/>
          <w:highlight w:val="none"/>
        </w:rPr>
        <w:t>第十六条</w:t>
      </w:r>
      <w:r>
        <w:rPr>
          <w:rFonts w:cs="宋体"/>
          <w:sz w:val="24"/>
          <w:szCs w:val="24"/>
          <w:highlight w:val="none"/>
        </w:rPr>
        <w:t xml:space="preserve">  </w:t>
      </w:r>
      <w:r>
        <w:rPr>
          <w:rFonts w:hint="eastAsia" w:cs="宋体"/>
          <w:sz w:val="24"/>
          <w:szCs w:val="24"/>
          <w:highlight w:val="none"/>
        </w:rPr>
        <w:t>争议解决、不可抗力及其他</w:t>
      </w:r>
      <w:bookmarkEnd w:id="35"/>
      <w:bookmarkEnd w:id="36"/>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16.1</w:t>
      </w:r>
      <w:r>
        <w:rPr>
          <w:rFonts w:hint="eastAsia" w:cs="宋体"/>
          <w:color w:val="000000"/>
          <w:kern w:val="0"/>
          <w:sz w:val="24"/>
          <w:szCs w:val="20"/>
          <w:highlight w:val="none"/>
        </w:rPr>
        <w:t>本协议适用中华人民共和国法律。对由于本协议引起或与本协议有关的任何争议，双方应尽其最大努力通过友好协商解决。协商不成的，则任何一方有权按下述第【</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s="宋体"/>
          <w:color w:val="000000"/>
          <w:kern w:val="0"/>
          <w:sz w:val="24"/>
          <w:szCs w:val="20"/>
          <w:highlight w:val="none"/>
        </w:rPr>
        <w:t>】项所述的方式解决争议：</w:t>
      </w:r>
    </w:p>
    <w:p>
      <w:pPr>
        <w:tabs>
          <w:tab w:val="right" w:leader="dot" w:pos="284"/>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w:t>
      </w:r>
      <w:r>
        <w:rPr>
          <w:rFonts w:cs="宋体"/>
          <w:color w:val="000000"/>
          <w:kern w:val="0"/>
          <w:sz w:val="24"/>
          <w:szCs w:val="20"/>
          <w:highlight w:val="none"/>
        </w:rPr>
        <w:t>1</w:t>
      </w:r>
      <w:r>
        <w:rPr>
          <w:rFonts w:hint="eastAsia" w:cs="宋体"/>
          <w:color w:val="000000"/>
          <w:kern w:val="0"/>
          <w:sz w:val="24"/>
          <w:szCs w:val="20"/>
          <w:highlight w:val="none"/>
        </w:rPr>
        <w:t>）提交乙方住所地有管辖权的人民法院进行诉讼；</w:t>
      </w:r>
    </w:p>
    <w:p>
      <w:pPr>
        <w:tabs>
          <w:tab w:val="right" w:leader="dot" w:pos="284"/>
          <w:tab w:val="left" w:pos="1455"/>
        </w:tabs>
        <w:spacing w:line="420" w:lineRule="exact"/>
        <w:ind w:left="-426" w:leftChars="-203" w:right="424" w:rightChars="202" w:firstLine="568"/>
        <w:rPr>
          <w:rFonts w:hint="eastAsia" w:cs="宋体"/>
          <w:color w:val="000000"/>
          <w:kern w:val="0"/>
          <w:sz w:val="24"/>
          <w:szCs w:val="20"/>
          <w:highlight w:val="none"/>
        </w:rPr>
      </w:pPr>
      <w:r>
        <w:rPr>
          <w:rFonts w:hint="eastAsia" w:cs="宋体"/>
          <w:color w:val="000000"/>
          <w:kern w:val="0"/>
          <w:sz w:val="24"/>
          <w:szCs w:val="20"/>
          <w:highlight w:val="none"/>
        </w:rPr>
        <w:t>（</w:t>
      </w:r>
      <w:r>
        <w:rPr>
          <w:rFonts w:cs="宋体"/>
          <w:color w:val="000000"/>
          <w:kern w:val="0"/>
          <w:sz w:val="24"/>
          <w:szCs w:val="20"/>
          <w:highlight w:val="none"/>
        </w:rPr>
        <w:t>2</w:t>
      </w:r>
      <w:r>
        <w:rPr>
          <w:rFonts w:hint="eastAsia" w:cs="宋体"/>
          <w:color w:val="000000"/>
          <w:kern w:val="0"/>
          <w:sz w:val="24"/>
          <w:szCs w:val="20"/>
          <w:highlight w:val="none"/>
        </w:rPr>
        <w:t>）将争议提交中国国际经济贸易仲裁委员会根据该会届时有效的仲裁规则进行仲裁，仲裁的地点在北京市。仲裁裁决是终局的，对当事人均有约束力。</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cs="宋体"/>
          <w:color w:val="000000"/>
          <w:kern w:val="0"/>
          <w:sz w:val="24"/>
          <w:szCs w:val="20"/>
          <w:highlight w:val="none"/>
        </w:rPr>
        <w:t xml:space="preserve">16.2 </w:t>
      </w:r>
      <w:r>
        <w:rPr>
          <w:rFonts w:hint="eastAsia" w:cs="宋体"/>
          <w:color w:val="000000"/>
          <w:kern w:val="0"/>
          <w:sz w:val="24"/>
          <w:szCs w:val="20"/>
          <w:highlight w:val="none"/>
        </w:rPr>
        <w:t>如果任何一方因不可抗力不能履行本协议时，可根据不可抗力的影响部分或全部免除该方的责任。下述不可抗力情形的发生将构成本协议免责的必要而非充分条件。任何一方因延迟履行本协议约定的义务后发生不可抗力的，不能免除责任。</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不可抗力是指甲方或者乙方不能预见、不能避免、不能克服的客观情况，包括但不限于火灾，暴雨，地震，飓风，雷击等自然灾害，以及任何通讯、网络、电力事故等重大事件，以及国家重大政策调整、突发性公共卫生事件等。因中国人民银行银行间结算系统出现故障导致银行间的结算无法进行的情形，因电信服务商原因导致监管人资金划付的网络中断、无法使用的情形，构成对乙方适用的不可抗力事件。任何一方因不可抗力不能履行本协议时，应及时通知对方并在合理期限内提供受到不可抗力影响的证明，并采取适当措施防止对方损失的扩大和保护理财产品的完整。</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16.3</w:t>
      </w:r>
      <w:r>
        <w:rPr>
          <w:rFonts w:hint="eastAsia" w:cs="宋体"/>
          <w:color w:val="000000"/>
          <w:kern w:val="0"/>
          <w:sz w:val="24"/>
          <w:szCs w:val="20"/>
          <w:highlight w:val="none"/>
        </w:rPr>
        <w:t>除非一方以书面申明放弃某项权利，任何一方未能按本协议约定行使或及时行使部分或全部权利或补救权不构成该方放弃在本协议项下的权利。</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16.4</w:t>
      </w:r>
      <w:r>
        <w:rPr>
          <w:rFonts w:hint="eastAsia" w:cs="宋体"/>
          <w:color w:val="000000"/>
          <w:kern w:val="0"/>
          <w:sz w:val="24"/>
          <w:szCs w:val="20"/>
          <w:highlight w:val="none"/>
        </w:rPr>
        <w:t>本协议非经双方书面同意，不得修改。如在本协议有效期内出现影响或限制本协议履行的法律、法规及政策，甲方、乙方应对本协议进行协商和修改。</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16.5</w:t>
      </w:r>
      <w:r>
        <w:rPr>
          <w:rFonts w:hint="eastAsia" w:cs="宋体"/>
          <w:color w:val="000000"/>
          <w:kern w:val="0"/>
          <w:sz w:val="24"/>
          <w:szCs w:val="20"/>
          <w:highlight w:val="none"/>
        </w:rPr>
        <w:t>本协议所有附件构成本协议的组成部分并与本协议正文具有同等的法律效力。</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color w:val="000000"/>
          <w:kern w:val="0"/>
          <w:sz w:val="24"/>
          <w:szCs w:val="20"/>
          <w:highlight w:val="none"/>
        </w:rPr>
        <w:t>16.6</w:t>
      </w:r>
      <w:r>
        <w:rPr>
          <w:rFonts w:hint="eastAsia" w:cs="宋体"/>
          <w:color w:val="000000"/>
          <w:kern w:val="0"/>
          <w:sz w:val="24"/>
          <w:szCs w:val="20"/>
          <w:highlight w:val="none"/>
        </w:rPr>
        <w:t xml:space="preserve"> 本协议一式【</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hint="eastAsia" w:cs="宋体"/>
          <w:color w:val="000000"/>
          <w:sz w:val="24"/>
          <w:szCs w:val="20"/>
          <w:highlight w:val="none"/>
          <w:shd w:val="clear" w:color="FFFFFF" w:fill="D9D9D9"/>
          <w:lang w:eastAsia="zh-CN"/>
        </w:rPr>
        <w:t>肆</w:t>
      </w:r>
      <w:r>
        <w:rPr>
          <w:rFonts w:hint="eastAsia" w:cs="宋体"/>
          <w:color w:val="000000"/>
          <w:sz w:val="24"/>
          <w:szCs w:val="20"/>
          <w:highlight w:val="none"/>
          <w:shd w:val="clear" w:color="FFFFFF" w:fill="D9D9D9"/>
        </w:rPr>
        <w:fldChar w:fldCharType="end"/>
      </w:r>
      <w:r>
        <w:rPr>
          <w:rFonts w:hint="eastAsia" w:cs="宋体"/>
          <w:color w:val="000000"/>
          <w:kern w:val="0"/>
          <w:sz w:val="24"/>
          <w:szCs w:val="20"/>
          <w:highlight w:val="none"/>
        </w:rPr>
        <w:t>】份，甲、乙双方各执【</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hint="eastAsia" w:cs="宋体"/>
          <w:color w:val="000000"/>
          <w:sz w:val="24"/>
          <w:szCs w:val="20"/>
          <w:highlight w:val="none"/>
          <w:shd w:val="clear" w:color="FFFFFF" w:fill="D9D9D9"/>
          <w:lang w:eastAsia="zh-CN"/>
        </w:rPr>
        <w:t>贰</w:t>
      </w:r>
      <w:r>
        <w:rPr>
          <w:rFonts w:hint="eastAsia" w:cs="宋体"/>
          <w:color w:val="000000"/>
          <w:sz w:val="24"/>
          <w:szCs w:val="20"/>
          <w:highlight w:val="none"/>
          <w:shd w:val="clear" w:color="FFFFFF" w:fill="D9D9D9"/>
        </w:rPr>
        <w:fldChar w:fldCharType="end"/>
      </w:r>
      <w:r>
        <w:rPr>
          <w:rFonts w:hint="eastAsia" w:cs="宋体"/>
          <w:color w:val="000000"/>
          <w:kern w:val="0"/>
          <w:sz w:val="24"/>
          <w:szCs w:val="20"/>
          <w:highlight w:val="none"/>
        </w:rPr>
        <w:t>】份，每份具有同等的法律效力。</w:t>
      </w:r>
    </w:p>
    <w:p>
      <w:pPr>
        <w:tabs>
          <w:tab w:val="right" w:leader="dot" w:pos="284"/>
          <w:tab w:val="left" w:pos="1455"/>
        </w:tabs>
        <w:spacing w:line="420" w:lineRule="exact"/>
        <w:ind w:left="-426" w:leftChars="-203" w:right="424" w:rightChars="202" w:firstLine="568"/>
        <w:rPr>
          <w:rFonts w:cs="宋体"/>
          <w:color w:val="000000"/>
          <w:kern w:val="0"/>
          <w:sz w:val="24"/>
          <w:szCs w:val="20"/>
          <w:highlight w:val="none"/>
        </w:rPr>
      </w:pPr>
      <w:r>
        <w:rPr>
          <w:rFonts w:hint="eastAsia" w:cs="宋体"/>
          <w:color w:val="000000"/>
          <w:kern w:val="0"/>
          <w:sz w:val="24"/>
          <w:szCs w:val="20"/>
          <w:highlight w:val="none"/>
        </w:rPr>
        <w:t>（以下无正文）</w:t>
      </w:r>
    </w:p>
    <w:p>
      <w:pPr>
        <w:tabs>
          <w:tab w:val="right" w:leader="dot" w:pos="284"/>
          <w:tab w:val="left" w:pos="1455"/>
        </w:tabs>
        <w:spacing w:line="420" w:lineRule="exact"/>
        <w:ind w:left="-426" w:leftChars="-203" w:right="424" w:rightChars="202" w:firstLine="568"/>
        <w:rPr>
          <w:b/>
          <w:bCs/>
          <w:color w:val="000000"/>
          <w:sz w:val="24"/>
          <w:szCs w:val="20"/>
          <w:highlight w:val="none"/>
        </w:rPr>
      </w:pPr>
      <w:r>
        <w:rPr>
          <w:rFonts w:cs="宋体"/>
          <w:color w:val="000000"/>
          <w:kern w:val="0"/>
          <w:sz w:val="24"/>
          <w:szCs w:val="20"/>
          <w:highlight w:val="none"/>
        </w:rPr>
        <w:br w:type="page"/>
      </w:r>
    </w:p>
    <w:p>
      <w:pPr>
        <w:tabs>
          <w:tab w:val="right" w:leader="dot" w:pos="284"/>
        </w:tabs>
        <w:snapToGrid w:val="0"/>
        <w:spacing w:line="420" w:lineRule="exact"/>
        <w:ind w:left="-426" w:leftChars="-203" w:right="424" w:rightChars="202" w:firstLine="568"/>
        <w:rPr>
          <w:rFonts w:hint="eastAsia" w:cs="仿宋_GB2312"/>
          <w:sz w:val="24"/>
          <w:szCs w:val="24"/>
          <w:highlight w:val="none"/>
        </w:rPr>
      </w:pPr>
      <w:r>
        <w:rPr>
          <w:rFonts w:hint="eastAsia" w:cs="仿宋_GB2312"/>
          <w:sz w:val="24"/>
          <w:szCs w:val="24"/>
          <w:highlight w:val="none"/>
        </w:rPr>
        <w:t>（本页仅为编号【</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hint="eastAsia" w:cs="宋体"/>
          <w:color w:val="000000"/>
          <w:sz w:val="24"/>
          <w:szCs w:val="20"/>
          <w:highlight w:val="none"/>
          <w:shd w:val="clear" w:color="FFFFFF" w:fill="D9D9D9"/>
          <w:lang w:val="en-US" w:eastAsia="zh-CN"/>
        </w:rPr>
        <w:t xml:space="preserve">          </w:t>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s="仿宋_GB2312"/>
          <w:sz w:val="24"/>
          <w:szCs w:val="24"/>
          <w:highlight w:val="none"/>
        </w:rPr>
        <w:t>】的《</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hint="eastAsia" w:cs="宋体"/>
          <w:color w:val="000000"/>
          <w:sz w:val="24"/>
          <w:szCs w:val="20"/>
          <w:highlight w:val="none"/>
          <w:u w:val="single"/>
          <w:shd w:val="clear" w:color="FFFFFF" w:fill="D9D9D9"/>
        </w:rPr>
        <w:t>太原市城区农村信用合作联社信盈宝系列</w:t>
      </w:r>
      <w:r>
        <w:rPr>
          <w:rFonts w:hint="eastAsia" w:cs="宋体"/>
          <w:color w:val="000000"/>
          <w:sz w:val="24"/>
          <w:szCs w:val="20"/>
          <w:highlight w:val="none"/>
          <w:u w:val="single"/>
          <w:shd w:val="clear" w:color="FFFFFF" w:fill="D9D9D9"/>
        </w:rPr>
        <w:fldChar w:fldCharType="end"/>
      </w:r>
      <w:r>
        <w:rPr>
          <w:rFonts w:hint="eastAsia" w:cs="仿宋_GB2312"/>
          <w:sz w:val="24"/>
          <w:szCs w:val="24"/>
          <w:highlight w:val="none"/>
        </w:rPr>
        <w:t>理财计划托管协议》签署页，本页无正文）</w:t>
      </w: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 w:val="left" w:pos="1455"/>
        </w:tabs>
        <w:spacing w:line="420" w:lineRule="exact"/>
        <w:ind w:left="-426" w:leftChars="-203" w:right="424" w:rightChars="202" w:firstLine="568"/>
        <w:rPr>
          <w:b/>
          <w:bCs/>
          <w:color w:val="000000"/>
          <w:sz w:val="24"/>
          <w:szCs w:val="20"/>
          <w:highlight w:val="none"/>
        </w:rPr>
      </w:pPr>
    </w:p>
    <w:p>
      <w:pPr>
        <w:tabs>
          <w:tab w:val="right" w:leader="dot" w:pos="284"/>
          <w:tab w:val="left" w:pos="1455"/>
        </w:tabs>
        <w:spacing w:line="420" w:lineRule="exact"/>
        <w:ind w:left="-426" w:leftChars="-203" w:right="424" w:rightChars="202" w:firstLine="568"/>
        <w:rPr>
          <w:b/>
          <w:bCs/>
          <w:color w:val="000000"/>
          <w:sz w:val="24"/>
          <w:szCs w:val="20"/>
          <w:highlight w:val="none"/>
        </w:rPr>
      </w:pPr>
    </w:p>
    <w:p>
      <w:pPr>
        <w:tabs>
          <w:tab w:val="right" w:leader="dot" w:pos="284"/>
          <w:tab w:val="left" w:pos="1455"/>
        </w:tabs>
        <w:spacing w:line="420" w:lineRule="exact"/>
        <w:ind w:left="-426" w:leftChars="-203" w:right="424" w:rightChars="202" w:firstLine="568"/>
        <w:rPr>
          <w:b/>
          <w:bCs/>
          <w:color w:val="000000"/>
          <w:sz w:val="24"/>
          <w:szCs w:val="20"/>
          <w:highlight w:val="none"/>
        </w:rPr>
      </w:pPr>
      <w:r>
        <w:rPr>
          <w:rFonts w:hint="eastAsia" w:cs="宋体"/>
          <w:b/>
          <w:bCs/>
          <w:color w:val="000000"/>
          <w:sz w:val="24"/>
          <w:szCs w:val="20"/>
          <w:highlight w:val="none"/>
        </w:rPr>
        <w:t>甲方（公章或合同专用章）：</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hint="eastAsia" w:cs="宋体"/>
          <w:color w:val="000000"/>
          <w:sz w:val="24"/>
          <w:szCs w:val="20"/>
          <w:highlight w:val="none"/>
          <w:u w:val="single"/>
          <w:shd w:val="clear" w:color="FFFFFF" w:fill="D9D9D9"/>
        </w:rPr>
        <w:t> 太原市城区农村信用合作联社</w:t>
      </w:r>
      <w:r>
        <w:rPr>
          <w:rFonts w:hint="eastAsia" w:cs="宋体"/>
          <w:color w:val="000000"/>
          <w:sz w:val="24"/>
          <w:szCs w:val="20"/>
          <w:highlight w:val="none"/>
          <w:u w:val="single"/>
          <w:shd w:val="clear" w:color="FFFFFF" w:fill="D9D9D9"/>
        </w:rPr>
        <w:fldChar w:fldCharType="end"/>
      </w: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 w:val="left" w:pos="1455"/>
        </w:tabs>
        <w:spacing w:line="420" w:lineRule="exact"/>
        <w:ind w:left="-426" w:leftChars="-203" w:right="424" w:rightChars="202" w:firstLine="568"/>
        <w:rPr>
          <w:color w:val="000000"/>
          <w:sz w:val="24"/>
          <w:szCs w:val="20"/>
          <w:highlight w:val="none"/>
        </w:rPr>
      </w:pPr>
      <w:r>
        <w:rPr>
          <w:rFonts w:hint="eastAsia" w:cs="宋体"/>
          <w:color w:val="000000"/>
          <w:sz w:val="24"/>
          <w:szCs w:val="20"/>
          <w:highlight w:val="none"/>
        </w:rPr>
        <w:t>法定代表人或授权代表(签字/签章)：</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 w:val="left" w:pos="1455"/>
        </w:tabs>
        <w:spacing w:line="420" w:lineRule="exact"/>
        <w:ind w:left="-426" w:leftChars="-203" w:right="424" w:rightChars="202" w:firstLine="568"/>
        <w:rPr>
          <w:color w:val="000000"/>
          <w:sz w:val="24"/>
          <w:szCs w:val="20"/>
          <w:highlight w:val="none"/>
          <w:u w:val="single"/>
        </w:rPr>
      </w:pPr>
      <w:r>
        <w:rPr>
          <w:rFonts w:hint="eastAsia" w:cs="宋体"/>
          <w:b/>
          <w:bCs/>
          <w:color w:val="000000"/>
          <w:sz w:val="24"/>
          <w:szCs w:val="20"/>
          <w:highlight w:val="none"/>
        </w:rPr>
        <w:t>乙方（公章或合同专用章）：中国民生银行股份有限公司</w:t>
      </w: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 w:val="left" w:pos="1455"/>
        </w:tabs>
        <w:spacing w:line="420" w:lineRule="exact"/>
        <w:ind w:left="-426" w:leftChars="-203" w:right="424" w:rightChars="202" w:firstLine="568"/>
        <w:rPr>
          <w:color w:val="000000"/>
          <w:sz w:val="24"/>
          <w:szCs w:val="20"/>
          <w:highlight w:val="none"/>
        </w:rPr>
      </w:pPr>
      <w:r>
        <w:rPr>
          <w:rFonts w:hint="eastAsia" w:cs="宋体"/>
          <w:color w:val="000000"/>
          <w:sz w:val="24"/>
          <w:szCs w:val="20"/>
          <w:highlight w:val="none"/>
        </w:rPr>
        <w:t>法定代表人或授权代表(签字/签章)：</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r>
        <w:rPr>
          <w:rFonts w:cs="宋体"/>
          <w:color w:val="000000"/>
          <w:sz w:val="24"/>
          <w:szCs w:val="20"/>
          <w:highlight w:val="none"/>
        </w:rPr>
        <w:t xml:space="preserve"> </w:t>
      </w: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 w:val="left" w:pos="1455"/>
        </w:tabs>
        <w:spacing w:line="420" w:lineRule="exact"/>
        <w:ind w:left="-426" w:leftChars="-203" w:right="424" w:rightChars="202" w:firstLine="568"/>
        <w:rPr>
          <w:color w:val="000000"/>
          <w:sz w:val="24"/>
          <w:szCs w:val="20"/>
          <w:highlight w:val="none"/>
        </w:rPr>
      </w:pPr>
      <w:r>
        <w:rPr>
          <w:rFonts w:cs="宋体"/>
          <w:color w:val="000000"/>
          <w:sz w:val="24"/>
          <w:szCs w:val="20"/>
          <w:highlight w:val="none"/>
        </w:rPr>
        <w:t xml:space="preserve"> </w:t>
      </w: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 w:val="left" w:pos="1455"/>
        </w:tabs>
        <w:spacing w:line="420" w:lineRule="exact"/>
        <w:ind w:left="-426" w:leftChars="-203" w:right="424" w:rightChars="202" w:firstLine="568"/>
        <w:rPr>
          <w:color w:val="000000"/>
          <w:sz w:val="24"/>
          <w:szCs w:val="20"/>
          <w:highlight w:val="none"/>
        </w:rPr>
      </w:pPr>
    </w:p>
    <w:p>
      <w:pPr>
        <w:tabs>
          <w:tab w:val="right" w:leader="dot" w:pos="284"/>
        </w:tabs>
        <w:adjustRightInd w:val="0"/>
        <w:snapToGrid w:val="0"/>
        <w:spacing w:line="420" w:lineRule="exact"/>
        <w:ind w:left="-426" w:leftChars="-203" w:right="424" w:rightChars="202" w:firstLine="568"/>
        <w:outlineLvl w:val="0"/>
        <w:rPr>
          <w:rFonts w:hint="eastAsia"/>
          <w:color w:val="000000"/>
          <w:sz w:val="24"/>
          <w:highlight w:val="none"/>
          <w:u w:val="single"/>
        </w:rPr>
      </w:pPr>
      <w:bookmarkStart w:id="37" w:name="_Toc8826"/>
      <w:bookmarkStart w:id="38" w:name="_Toc382145869"/>
      <w:bookmarkStart w:id="39" w:name="_Toc382145966"/>
      <w:bookmarkStart w:id="40" w:name="_Toc382225511"/>
      <w:bookmarkStart w:id="41" w:name="_Toc385950567"/>
      <w:r>
        <w:rPr>
          <w:rFonts w:hint="eastAsia"/>
          <w:color w:val="000000"/>
          <w:sz w:val="24"/>
          <w:highlight w:val="none"/>
        </w:rPr>
        <w:t>签订地：</w:t>
      </w:r>
      <w:bookmarkEnd w:id="37"/>
      <w:r>
        <w:rPr>
          <w:rFonts w:hint="eastAsia"/>
          <w:color w:val="000000"/>
          <w:sz w:val="24"/>
          <w:highlight w:val="none"/>
          <w:u w:val="single"/>
          <w:shd w:val="clear" w:color="FFFFFF" w:fill="D9D9D9"/>
        </w:rPr>
        <w:fldChar w:fldCharType="begin">
          <w:ffData>
            <w:enabled/>
            <w:calcOnExit w:val="0"/>
            <w:textInput/>
          </w:ffData>
        </w:fldChar>
      </w:r>
      <w:r>
        <w:rPr>
          <w:rFonts w:hint="eastAsia"/>
          <w:color w:val="000000"/>
          <w:sz w:val="24"/>
          <w:highlight w:val="none"/>
          <w:u w:val="single"/>
          <w:shd w:val="clear" w:color="FFFFFF" w:fill="D9D9D9"/>
        </w:rPr>
        <w:instrText xml:space="preserve">FORMTEXT</w:instrText>
      </w:r>
      <w:r>
        <w:rPr>
          <w:rFonts w:hint="eastAsia"/>
          <w:color w:val="000000"/>
          <w:sz w:val="24"/>
          <w:highlight w:val="none"/>
          <w:u w:val="single"/>
          <w:shd w:val="clear" w:color="FFFFFF" w:fill="D9D9D9"/>
        </w:rPr>
        <w:fldChar w:fldCharType="separate"/>
      </w:r>
      <w:r>
        <w:rPr>
          <w:color w:val="000000"/>
          <w:sz w:val="24"/>
          <w:highlight w:val="none"/>
          <w:u w:val="single"/>
          <w:shd w:val="clear" w:color="FFFFFF" w:fill="D9D9D9"/>
        </w:rPr>
        <w:t>     </w:t>
      </w:r>
      <w:r>
        <w:rPr>
          <w:rFonts w:hint="eastAsia"/>
          <w:color w:val="000000"/>
          <w:sz w:val="24"/>
          <w:highlight w:val="none"/>
          <w:u w:val="single"/>
          <w:shd w:val="clear" w:color="FFFFFF" w:fill="D9D9D9"/>
        </w:rPr>
        <w:fldChar w:fldCharType="end"/>
      </w:r>
    </w:p>
    <w:bookmarkEnd w:id="38"/>
    <w:bookmarkEnd w:id="39"/>
    <w:bookmarkEnd w:id="40"/>
    <w:bookmarkEnd w:id="41"/>
    <w:p>
      <w:pPr>
        <w:tabs>
          <w:tab w:val="right" w:leader="dot" w:pos="284"/>
        </w:tabs>
        <w:adjustRightInd w:val="0"/>
        <w:snapToGrid w:val="0"/>
        <w:spacing w:line="420" w:lineRule="exact"/>
        <w:ind w:left="-426" w:leftChars="-203" w:right="424" w:rightChars="202" w:firstLine="568"/>
        <w:outlineLvl w:val="0"/>
        <w:rPr>
          <w:color w:val="000000"/>
          <w:sz w:val="24"/>
          <w:highlight w:val="none"/>
        </w:rPr>
      </w:pPr>
      <w:bookmarkStart w:id="42" w:name="_Toc382145870"/>
      <w:bookmarkStart w:id="43" w:name="_Toc28397"/>
      <w:bookmarkStart w:id="44" w:name="_Toc372211922"/>
      <w:bookmarkStart w:id="45" w:name="_Toc382225512"/>
      <w:bookmarkStart w:id="46" w:name="_Toc385950568"/>
      <w:bookmarkStart w:id="47" w:name="_Toc382145967"/>
      <w:r>
        <w:rPr>
          <w:rFonts w:hint="eastAsia"/>
          <w:color w:val="000000"/>
          <w:sz w:val="24"/>
          <w:highlight w:val="none"/>
        </w:rPr>
        <w:t>签订日期：【</w:t>
      </w:r>
      <w:r>
        <w:rPr>
          <w:rFonts w:hint="eastAsia"/>
          <w:color w:val="000000"/>
          <w:sz w:val="24"/>
          <w:highlight w:val="none"/>
          <w:shd w:val="clear" w:color="FFFFFF" w:fill="D9D9D9"/>
        </w:rPr>
        <w:fldChar w:fldCharType="begin">
          <w:ffData>
            <w:enabled/>
            <w:calcOnExit w:val="0"/>
            <w:textInput/>
          </w:ffData>
        </w:fldChar>
      </w:r>
      <w:r>
        <w:rPr>
          <w:rFonts w:hint="eastAsia"/>
          <w:color w:val="000000"/>
          <w:sz w:val="24"/>
          <w:highlight w:val="none"/>
          <w:shd w:val="clear" w:color="FFFFFF" w:fill="D9D9D9"/>
        </w:rPr>
        <w:instrText xml:space="preserve">FORMTEXT</w:instrText>
      </w:r>
      <w:r>
        <w:rPr>
          <w:rFonts w:hint="eastAsia"/>
          <w:color w:val="000000"/>
          <w:sz w:val="24"/>
          <w:highlight w:val="none"/>
          <w:shd w:val="clear" w:color="FFFFFF" w:fill="D9D9D9"/>
        </w:rPr>
        <w:fldChar w:fldCharType="separate"/>
      </w:r>
      <w:r>
        <w:rPr>
          <w:rFonts w:hint="eastAsia"/>
          <w:color w:val="000000"/>
          <w:sz w:val="24"/>
          <w:highlight w:val="none"/>
          <w:shd w:val="clear" w:color="FFFFFF" w:fill="D9D9D9"/>
          <w:lang w:eastAsia="zh-CN"/>
        </w:rPr>
        <w:t>2</w:t>
      </w:r>
      <w:r>
        <w:rPr>
          <w:rFonts w:hint="eastAsia"/>
          <w:color w:val="000000"/>
          <w:sz w:val="24"/>
          <w:highlight w:val="none"/>
          <w:shd w:val="clear" w:color="FFFFFF" w:fill="D9D9D9"/>
          <w:lang w:val="en-US" w:eastAsia="zh-CN"/>
        </w:rPr>
        <w:t>019</w:t>
      </w:r>
      <w:r>
        <w:rPr>
          <w:rFonts w:hint="eastAsia"/>
          <w:color w:val="000000"/>
          <w:sz w:val="24"/>
          <w:highlight w:val="none"/>
          <w:shd w:val="clear" w:color="FFFFFF" w:fill="D9D9D9"/>
        </w:rPr>
        <w:fldChar w:fldCharType="end"/>
      </w:r>
      <w:r>
        <w:rPr>
          <w:rFonts w:hint="eastAsia"/>
          <w:color w:val="000000"/>
          <w:sz w:val="24"/>
          <w:highlight w:val="none"/>
        </w:rPr>
        <w:t>】年【</w:t>
      </w:r>
      <w:r>
        <w:rPr>
          <w:rFonts w:hint="eastAsia"/>
          <w:color w:val="000000"/>
          <w:sz w:val="24"/>
          <w:highlight w:val="none"/>
          <w:shd w:val="clear" w:color="FFFFFF" w:fill="D9D9D9"/>
        </w:rPr>
        <w:fldChar w:fldCharType="begin">
          <w:ffData>
            <w:enabled/>
            <w:calcOnExit w:val="0"/>
            <w:textInput/>
          </w:ffData>
        </w:fldChar>
      </w:r>
      <w:r>
        <w:rPr>
          <w:rFonts w:hint="eastAsia"/>
          <w:color w:val="000000"/>
          <w:sz w:val="24"/>
          <w:highlight w:val="none"/>
          <w:shd w:val="clear" w:color="FFFFFF" w:fill="D9D9D9"/>
        </w:rPr>
        <w:instrText xml:space="preserve">FORMTEXT</w:instrText>
      </w:r>
      <w:r>
        <w:rPr>
          <w:rFonts w:hint="eastAsia"/>
          <w:color w:val="000000"/>
          <w:sz w:val="24"/>
          <w:highlight w:val="none"/>
          <w:shd w:val="clear" w:color="FFFFFF" w:fill="D9D9D9"/>
        </w:rPr>
        <w:fldChar w:fldCharType="separate"/>
      </w:r>
      <w:r>
        <w:rPr>
          <w:rFonts w:hint="eastAsia"/>
          <w:color w:val="000000"/>
          <w:sz w:val="24"/>
          <w:highlight w:val="none"/>
          <w:shd w:val="clear" w:color="FFFFFF" w:fill="D9D9D9"/>
          <w:lang w:eastAsia="zh-CN"/>
        </w:rPr>
        <w:t>1</w:t>
      </w:r>
      <w:r>
        <w:rPr>
          <w:rFonts w:hint="eastAsia"/>
          <w:color w:val="000000"/>
          <w:sz w:val="24"/>
          <w:highlight w:val="none"/>
          <w:shd w:val="clear" w:color="FFFFFF" w:fill="D9D9D9"/>
        </w:rPr>
        <w:fldChar w:fldCharType="end"/>
      </w:r>
      <w:r>
        <w:rPr>
          <w:rFonts w:hint="eastAsia"/>
          <w:color w:val="000000"/>
          <w:sz w:val="24"/>
          <w:highlight w:val="none"/>
        </w:rPr>
        <w:t>】月【</w:t>
      </w:r>
      <w:r>
        <w:rPr>
          <w:rFonts w:hint="eastAsia"/>
          <w:color w:val="000000"/>
          <w:sz w:val="24"/>
          <w:highlight w:val="none"/>
          <w:shd w:val="clear" w:color="FFFFFF" w:fill="D9D9D9"/>
        </w:rPr>
        <w:fldChar w:fldCharType="begin">
          <w:ffData>
            <w:enabled/>
            <w:calcOnExit w:val="0"/>
            <w:textInput/>
          </w:ffData>
        </w:fldChar>
      </w:r>
      <w:r>
        <w:rPr>
          <w:rFonts w:hint="eastAsia"/>
          <w:color w:val="000000"/>
          <w:sz w:val="24"/>
          <w:highlight w:val="none"/>
          <w:shd w:val="clear" w:color="FFFFFF" w:fill="D9D9D9"/>
        </w:rPr>
        <w:instrText xml:space="preserve">FORMTEXT</w:instrText>
      </w:r>
      <w:r>
        <w:rPr>
          <w:rFonts w:hint="eastAsia"/>
          <w:color w:val="000000"/>
          <w:sz w:val="24"/>
          <w:highlight w:val="none"/>
          <w:shd w:val="clear" w:color="FFFFFF" w:fill="D9D9D9"/>
        </w:rPr>
        <w:fldChar w:fldCharType="separate"/>
      </w:r>
      <w:r>
        <w:rPr>
          <w:color w:val="000000"/>
          <w:sz w:val="24"/>
          <w:highlight w:val="none"/>
          <w:shd w:val="clear" w:color="FFFFFF" w:fill="D9D9D9"/>
        </w:rPr>
        <w:t>     </w:t>
      </w:r>
      <w:r>
        <w:rPr>
          <w:rFonts w:hint="eastAsia"/>
          <w:color w:val="000000"/>
          <w:sz w:val="24"/>
          <w:highlight w:val="none"/>
          <w:shd w:val="clear" w:color="FFFFFF" w:fill="D9D9D9"/>
        </w:rPr>
        <w:fldChar w:fldCharType="end"/>
      </w:r>
      <w:r>
        <w:rPr>
          <w:rFonts w:hint="eastAsia"/>
          <w:color w:val="000000"/>
          <w:sz w:val="24"/>
          <w:highlight w:val="none"/>
        </w:rPr>
        <w:t>】日</w:t>
      </w:r>
      <w:bookmarkEnd w:id="42"/>
      <w:bookmarkEnd w:id="43"/>
      <w:bookmarkEnd w:id="44"/>
      <w:bookmarkEnd w:id="45"/>
      <w:bookmarkEnd w:id="46"/>
      <w:bookmarkEnd w:id="47"/>
    </w:p>
    <w:p>
      <w:pPr>
        <w:tabs>
          <w:tab w:val="left" w:pos="1455"/>
          <w:tab w:val="right" w:leader="dot" w:pos="8080"/>
        </w:tabs>
        <w:spacing w:line="420" w:lineRule="exact"/>
        <w:ind w:right="848" w:rightChars="404" w:firstLine="482" w:firstLineChars="200"/>
        <w:rPr>
          <w:b/>
          <w:bCs/>
          <w:color w:val="000000"/>
          <w:sz w:val="24"/>
          <w:szCs w:val="20"/>
          <w:highlight w:val="none"/>
        </w:rPr>
      </w:pPr>
    </w:p>
    <w:p>
      <w:pPr>
        <w:tabs>
          <w:tab w:val="left" w:pos="1455"/>
          <w:tab w:val="right" w:leader="dot" w:pos="8080"/>
        </w:tabs>
        <w:spacing w:line="420" w:lineRule="exact"/>
        <w:ind w:right="848" w:rightChars="404" w:firstLine="482" w:firstLineChars="200"/>
        <w:rPr>
          <w:b/>
          <w:bCs/>
          <w:color w:val="000000"/>
          <w:sz w:val="24"/>
          <w:szCs w:val="20"/>
          <w:highlight w:val="none"/>
        </w:rPr>
      </w:pPr>
    </w:p>
    <w:p>
      <w:pPr>
        <w:tabs>
          <w:tab w:val="left" w:pos="1455"/>
        </w:tabs>
        <w:spacing w:line="420" w:lineRule="exact"/>
        <w:ind w:firstLine="482" w:firstLineChars="200"/>
        <w:rPr>
          <w:b/>
          <w:bCs/>
          <w:color w:val="000000"/>
          <w:sz w:val="24"/>
          <w:szCs w:val="20"/>
          <w:highlight w:val="none"/>
        </w:rPr>
      </w:pPr>
    </w:p>
    <w:p>
      <w:pPr>
        <w:tabs>
          <w:tab w:val="left" w:pos="1455"/>
        </w:tabs>
        <w:spacing w:line="420" w:lineRule="exact"/>
        <w:ind w:firstLine="482" w:firstLineChars="200"/>
        <w:rPr>
          <w:b/>
          <w:bCs/>
          <w:color w:val="000000"/>
          <w:sz w:val="24"/>
          <w:szCs w:val="20"/>
          <w:highlight w:val="none"/>
        </w:rPr>
      </w:pPr>
    </w:p>
    <w:p>
      <w:pPr>
        <w:tabs>
          <w:tab w:val="left" w:pos="1455"/>
        </w:tabs>
        <w:spacing w:line="420" w:lineRule="exact"/>
        <w:ind w:firstLine="482" w:firstLineChars="200"/>
        <w:rPr>
          <w:b/>
          <w:bCs/>
          <w:color w:val="000000"/>
          <w:sz w:val="24"/>
          <w:szCs w:val="20"/>
          <w:highlight w:val="none"/>
        </w:rPr>
      </w:pPr>
    </w:p>
    <w:p>
      <w:pPr>
        <w:tabs>
          <w:tab w:val="left" w:pos="1455"/>
        </w:tabs>
        <w:spacing w:line="420" w:lineRule="exact"/>
        <w:ind w:firstLine="482" w:firstLineChars="200"/>
        <w:rPr>
          <w:b/>
          <w:bCs/>
          <w:color w:val="000000"/>
          <w:sz w:val="24"/>
          <w:szCs w:val="20"/>
          <w:highlight w:val="none"/>
        </w:rPr>
      </w:pPr>
    </w:p>
    <w:p>
      <w:pPr>
        <w:tabs>
          <w:tab w:val="left" w:pos="1455"/>
        </w:tabs>
        <w:spacing w:line="420" w:lineRule="exact"/>
        <w:ind w:firstLine="482" w:firstLineChars="200"/>
        <w:rPr>
          <w:b/>
          <w:bCs/>
          <w:color w:val="000000"/>
          <w:sz w:val="24"/>
          <w:szCs w:val="20"/>
          <w:highlight w:val="none"/>
        </w:rPr>
      </w:pPr>
    </w:p>
    <w:p>
      <w:pPr>
        <w:tabs>
          <w:tab w:val="left" w:pos="1455"/>
        </w:tabs>
        <w:spacing w:line="420" w:lineRule="exact"/>
        <w:ind w:firstLine="482" w:firstLineChars="200"/>
        <w:rPr>
          <w:b/>
          <w:bCs/>
          <w:color w:val="000000"/>
          <w:sz w:val="24"/>
          <w:szCs w:val="20"/>
          <w:highlight w:val="none"/>
        </w:rPr>
      </w:pPr>
    </w:p>
    <w:p>
      <w:pPr>
        <w:tabs>
          <w:tab w:val="left" w:pos="1455"/>
        </w:tabs>
        <w:spacing w:line="420" w:lineRule="exact"/>
        <w:ind w:firstLine="482" w:firstLineChars="200"/>
        <w:rPr>
          <w:b/>
          <w:bCs/>
          <w:color w:val="000000"/>
          <w:sz w:val="24"/>
          <w:szCs w:val="20"/>
          <w:highlight w:val="none"/>
        </w:rPr>
      </w:pPr>
    </w:p>
    <w:p>
      <w:pPr>
        <w:pStyle w:val="2"/>
        <w:ind w:left="424" w:leftChars="202" w:right="451" w:rightChars="215"/>
        <w:rPr>
          <w:sz w:val="24"/>
          <w:highlight w:val="none"/>
        </w:rPr>
      </w:pPr>
      <w:bookmarkStart w:id="48" w:name="_Toc382240674"/>
      <w:bookmarkStart w:id="49" w:name="_Toc7439"/>
      <w:r>
        <w:rPr>
          <w:rFonts w:hint="eastAsia"/>
          <w:sz w:val="24"/>
          <w:highlight w:val="none"/>
        </w:rPr>
        <w:t>附件一</w:t>
      </w:r>
      <w:r>
        <w:rPr>
          <w:rFonts w:hint="eastAsia"/>
          <w:sz w:val="24"/>
          <w:szCs w:val="24"/>
          <w:highlight w:val="none"/>
        </w:rPr>
        <w:t>：</w:t>
      </w:r>
      <w:r>
        <w:rPr>
          <w:rFonts w:hint="eastAsia"/>
          <w:sz w:val="24"/>
          <w:highlight w:val="none"/>
        </w:rPr>
        <w:t>《托管专户开立申请单》</w:t>
      </w:r>
      <w:bookmarkEnd w:id="48"/>
      <w:r>
        <w:rPr>
          <w:rFonts w:hint="eastAsia"/>
          <w:sz w:val="24"/>
          <w:highlight w:val="none"/>
        </w:rPr>
        <w:t>（格式）</w:t>
      </w:r>
      <w:bookmarkEnd w:id="49"/>
    </w:p>
    <w:p>
      <w:pPr>
        <w:tabs>
          <w:tab w:val="left" w:pos="1455"/>
        </w:tabs>
        <w:spacing w:line="420" w:lineRule="exact"/>
        <w:ind w:left="424" w:leftChars="202" w:right="451" w:rightChars="215"/>
        <w:jc w:val="center"/>
        <w:rPr>
          <w:b/>
          <w:color w:val="000000"/>
          <w:kern w:val="44"/>
          <w:sz w:val="24"/>
          <w:szCs w:val="20"/>
          <w:highlight w:val="none"/>
        </w:rPr>
      </w:pPr>
      <w:r>
        <w:rPr>
          <w:rFonts w:hint="eastAsia"/>
          <w:b/>
          <w:color w:val="000000"/>
          <w:kern w:val="44"/>
          <w:sz w:val="24"/>
          <w:szCs w:val="20"/>
          <w:highlight w:val="none"/>
        </w:rPr>
        <w:t>托管专户开立申请单</w:t>
      </w:r>
    </w:p>
    <w:p>
      <w:pPr>
        <w:tabs>
          <w:tab w:val="left" w:pos="1455"/>
        </w:tabs>
        <w:spacing w:line="420" w:lineRule="exact"/>
        <w:ind w:left="424" w:leftChars="202" w:right="451" w:rightChars="215" w:firstLine="482" w:firstLineChars="200"/>
        <w:rPr>
          <w:b/>
          <w:color w:val="000000"/>
          <w:sz w:val="24"/>
          <w:szCs w:val="20"/>
          <w:highlight w:val="none"/>
        </w:rPr>
      </w:pPr>
    </w:p>
    <w:p>
      <w:pPr>
        <w:tabs>
          <w:tab w:val="left" w:pos="1455"/>
        </w:tabs>
        <w:spacing w:line="420" w:lineRule="exact"/>
        <w:ind w:right="451" w:rightChars="215"/>
        <w:rPr>
          <w:color w:val="000000"/>
          <w:sz w:val="24"/>
          <w:szCs w:val="20"/>
          <w:highlight w:val="none"/>
        </w:rPr>
      </w:pPr>
      <w:r>
        <w:rPr>
          <w:rFonts w:hint="eastAsia"/>
          <w:color w:val="000000"/>
          <w:sz w:val="24"/>
          <w:szCs w:val="20"/>
          <w:highlight w:val="none"/>
        </w:rPr>
        <w:t>中国民生银行股份有限公司：</w:t>
      </w:r>
    </w:p>
    <w:p>
      <w:pPr>
        <w:tabs>
          <w:tab w:val="left" w:pos="1455"/>
        </w:tabs>
        <w:spacing w:line="420" w:lineRule="exact"/>
        <w:ind w:left="-141" w:leftChars="-67" w:right="451" w:rightChars="215" w:firstLine="564" w:firstLineChars="235"/>
        <w:rPr>
          <w:color w:val="000000"/>
          <w:sz w:val="24"/>
          <w:szCs w:val="20"/>
          <w:highlight w:val="none"/>
        </w:rPr>
      </w:pPr>
      <w:r>
        <w:rPr>
          <w:rFonts w:hint="eastAsia"/>
          <w:color w:val="000000"/>
          <w:sz w:val="24"/>
          <w:szCs w:val="20"/>
          <w:highlight w:val="none"/>
        </w:rPr>
        <w:t>我行近期发行 “</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hint="eastAsia" w:cs="宋体"/>
          <w:color w:val="000000"/>
          <w:sz w:val="24"/>
          <w:szCs w:val="20"/>
          <w:highlight w:val="none"/>
          <w:u w:val="single"/>
          <w:shd w:val="clear" w:color="FFFFFF" w:fill="D9D9D9"/>
        </w:rPr>
        <w:t>太原市城区农村信用合作联社信盈宝系列</w:t>
      </w:r>
      <w:r>
        <w:rPr>
          <w:rFonts w:hint="eastAsia" w:cs="宋体"/>
          <w:color w:val="000000"/>
          <w:sz w:val="24"/>
          <w:szCs w:val="20"/>
          <w:highlight w:val="none"/>
          <w:u w:val="single"/>
          <w:shd w:val="clear" w:color="FFFFFF" w:fill="D9D9D9"/>
        </w:rPr>
        <w:fldChar w:fldCharType="end"/>
      </w:r>
      <w:r>
        <w:rPr>
          <w:rFonts w:hint="eastAsia"/>
          <w:color w:val="000000"/>
          <w:sz w:val="24"/>
          <w:szCs w:val="20"/>
          <w:highlight w:val="none"/>
        </w:rPr>
        <w:t>理财计划”【</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hint="eastAsia" w:cs="宋体"/>
          <w:color w:val="000000"/>
          <w:sz w:val="24"/>
          <w:szCs w:val="20"/>
          <w:highlight w:val="none"/>
          <w:shd w:val="clear" w:color="FFFFFF" w:fill="D9D9D9"/>
          <w:lang w:val="en-US" w:eastAsia="zh-CN"/>
        </w:rPr>
        <w:t xml:space="preserve">   </w:t>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】期理财产品，产品起息日为【</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hint="eastAsia" w:cs="宋体"/>
          <w:color w:val="000000"/>
          <w:sz w:val="24"/>
          <w:szCs w:val="20"/>
          <w:highlight w:val="none"/>
          <w:shd w:val="clear" w:color="FFFFFF" w:fill="D9D9D9"/>
          <w:lang w:val="en-US" w:eastAsia="zh-CN"/>
        </w:rPr>
        <w:t xml:space="preserve">    </w:t>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】。根据与贵行签订的《</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hint="eastAsia" w:cs="宋体"/>
          <w:color w:val="000000"/>
          <w:sz w:val="24"/>
          <w:szCs w:val="20"/>
          <w:highlight w:val="none"/>
          <w:u w:val="single"/>
          <w:shd w:val="clear" w:color="FFFFFF" w:fill="D9D9D9"/>
        </w:rPr>
        <w:t>太原市城区农村信用合作联社信盈宝系列</w:t>
      </w:r>
      <w:r>
        <w:rPr>
          <w:rFonts w:hint="eastAsia" w:cs="宋体"/>
          <w:color w:val="000000"/>
          <w:sz w:val="24"/>
          <w:szCs w:val="20"/>
          <w:highlight w:val="none"/>
          <w:u w:val="single"/>
          <w:shd w:val="clear" w:color="FFFFFF" w:fill="D9D9D9"/>
        </w:rPr>
        <w:fldChar w:fldCharType="end"/>
      </w:r>
      <w:r>
        <w:rPr>
          <w:rFonts w:hint="eastAsia"/>
          <w:color w:val="000000"/>
          <w:sz w:val="24"/>
          <w:szCs w:val="20"/>
          <w:highlight w:val="none"/>
        </w:rPr>
        <w:t>理财计划托管协议》，现申请贵行协助开立托管专户，以保证该期理财产品起息日该托管专户可以启用，并请将该托管专户账户信息填入回单。</w:t>
      </w:r>
    </w:p>
    <w:p>
      <w:pPr>
        <w:tabs>
          <w:tab w:val="left" w:pos="1455"/>
        </w:tabs>
        <w:spacing w:line="420" w:lineRule="exact"/>
        <w:ind w:left="-141" w:leftChars="-67" w:right="451" w:rightChars="215" w:firstLine="564" w:firstLineChars="235"/>
        <w:rPr>
          <w:color w:val="000000"/>
          <w:sz w:val="24"/>
          <w:szCs w:val="20"/>
          <w:highlight w:val="none"/>
        </w:rPr>
      </w:pPr>
    </w:p>
    <w:p>
      <w:pPr>
        <w:wordWrap w:val="0"/>
        <w:ind w:left="-141" w:leftChars="-67" w:right="451" w:rightChars="215" w:firstLine="564" w:firstLineChars="235"/>
        <w:jc w:val="right"/>
        <w:rPr>
          <w:rFonts w:hint="eastAsia"/>
          <w:color w:val="000000"/>
          <w:sz w:val="24"/>
          <w:szCs w:val="20"/>
          <w:highlight w:val="none"/>
        </w:rPr>
      </w:pPr>
      <w:r>
        <w:rPr>
          <w:rFonts w:hint="eastAsia"/>
          <w:color w:val="000000"/>
          <w:sz w:val="24"/>
          <w:szCs w:val="20"/>
          <w:highlight w:val="none"/>
        </w:rPr>
        <w:t xml:space="preserve">                        </w:t>
      </w:r>
    </w:p>
    <w:p>
      <w:pPr>
        <w:ind w:left="-141" w:leftChars="-67" w:right="451" w:rightChars="215" w:firstLine="564" w:firstLineChars="235"/>
        <w:rPr>
          <w:rFonts w:hint="eastAsia" w:cs="宋体"/>
          <w:color w:val="000000"/>
          <w:sz w:val="24"/>
          <w:szCs w:val="24"/>
          <w:highlight w:val="none"/>
          <w:u w:val="single"/>
          <w:shd w:val="clear" w:color="FFFFFF" w:fill="D9D9D9"/>
        </w:rPr>
      </w:pPr>
      <w:r>
        <w:rPr>
          <w:rFonts w:hint="eastAsia"/>
          <w:sz w:val="24"/>
          <w:szCs w:val="24"/>
          <w:highlight w:val="none"/>
        </w:rPr>
        <w:t xml:space="preserve">              管理人（公章）：</w:t>
      </w:r>
      <w:r>
        <w:rPr>
          <w:rFonts w:hint="eastAsia" w:cs="宋体"/>
          <w:color w:val="000000"/>
          <w:sz w:val="24"/>
          <w:szCs w:val="24"/>
          <w:highlight w:val="none"/>
          <w:u w:val="single"/>
          <w:shd w:val="clear" w:color="FFFFFF" w:fill="D9D9D9"/>
        </w:rPr>
        <w:fldChar w:fldCharType="begin">
          <w:ffData>
            <w:enabled/>
            <w:calcOnExit w:val="0"/>
            <w:textInput/>
          </w:ffData>
        </w:fldChar>
      </w:r>
      <w:r>
        <w:rPr>
          <w:rFonts w:hint="eastAsia" w:cs="宋体"/>
          <w:color w:val="000000"/>
          <w:sz w:val="24"/>
          <w:szCs w:val="24"/>
          <w:highlight w:val="none"/>
          <w:u w:val="single"/>
          <w:shd w:val="clear" w:color="FFFFFF" w:fill="D9D9D9"/>
        </w:rPr>
        <w:instrText xml:space="preserve">FORMTEXT</w:instrText>
      </w:r>
      <w:r>
        <w:rPr>
          <w:rFonts w:hint="eastAsia" w:cs="宋体"/>
          <w:color w:val="000000"/>
          <w:sz w:val="24"/>
          <w:szCs w:val="24"/>
          <w:highlight w:val="none"/>
          <w:u w:val="single"/>
          <w:shd w:val="clear" w:color="FFFFFF" w:fill="D9D9D9"/>
        </w:rPr>
        <w:fldChar w:fldCharType="separate"/>
      </w:r>
      <w:r>
        <w:rPr>
          <w:rFonts w:cs="宋体"/>
          <w:color w:val="000000"/>
          <w:sz w:val="24"/>
          <w:szCs w:val="24"/>
          <w:highlight w:val="none"/>
          <w:u w:val="single"/>
          <w:shd w:val="clear" w:color="FFFFFF" w:fill="D9D9D9"/>
        </w:rPr>
        <w:t>     </w:t>
      </w:r>
      <w:r>
        <w:rPr>
          <w:rFonts w:hint="eastAsia" w:cs="宋体"/>
          <w:color w:val="000000"/>
          <w:sz w:val="24"/>
          <w:szCs w:val="24"/>
          <w:highlight w:val="none"/>
          <w:u w:val="single"/>
          <w:shd w:val="clear" w:color="FFFFFF" w:fill="D9D9D9"/>
        </w:rPr>
        <w:fldChar w:fldCharType="end"/>
      </w:r>
    </w:p>
    <w:p>
      <w:pPr>
        <w:ind w:left="-141" w:leftChars="-67" w:right="451" w:rightChars="215" w:firstLine="564" w:firstLineChars="235"/>
        <w:rPr>
          <w:rFonts w:hint="eastAsia"/>
          <w:color w:val="000000"/>
          <w:sz w:val="24"/>
          <w:szCs w:val="20"/>
          <w:highlight w:val="none"/>
        </w:rPr>
      </w:pPr>
    </w:p>
    <w:p>
      <w:pPr>
        <w:tabs>
          <w:tab w:val="left" w:pos="1455"/>
        </w:tabs>
        <w:spacing w:line="420" w:lineRule="exact"/>
        <w:ind w:left="-141" w:leftChars="-67" w:right="451" w:rightChars="215" w:firstLine="564" w:firstLineChars="235"/>
        <w:rPr>
          <w:color w:val="000000"/>
          <w:sz w:val="24"/>
          <w:szCs w:val="20"/>
          <w:highlight w:val="none"/>
        </w:rPr>
      </w:pPr>
      <w:r>
        <w:rPr>
          <w:rFonts w:hint="eastAsia" w:cs="宋体"/>
          <w:color w:val="000000"/>
          <w:sz w:val="24"/>
          <w:szCs w:val="20"/>
          <w:highlight w:val="none"/>
        </w:rPr>
        <w:t xml:space="preserve">              法定代表人或授权代表(签字/签章)：</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r>
        <w:rPr>
          <w:rFonts w:cs="宋体"/>
          <w:color w:val="000000"/>
          <w:sz w:val="24"/>
          <w:szCs w:val="20"/>
          <w:highlight w:val="none"/>
        </w:rPr>
        <w:t xml:space="preserve"> </w:t>
      </w:r>
    </w:p>
    <w:p>
      <w:pPr>
        <w:ind w:left="-141" w:leftChars="-67" w:right="451" w:rightChars="215" w:firstLine="564" w:firstLineChars="235"/>
        <w:jc w:val="right"/>
        <w:rPr>
          <w:rFonts w:hint="eastAsia" w:cs="宋体"/>
          <w:color w:val="000000"/>
          <w:sz w:val="24"/>
          <w:szCs w:val="24"/>
          <w:highlight w:val="none"/>
          <w:u w:val="single"/>
          <w:shd w:val="clear" w:color="FFFFFF" w:fill="D9D9D9"/>
        </w:rPr>
      </w:pPr>
    </w:p>
    <w:p>
      <w:pPr>
        <w:ind w:left="-141" w:leftChars="-67" w:right="451" w:rightChars="215" w:firstLine="564" w:firstLineChars="235"/>
        <w:jc w:val="right"/>
        <w:rPr>
          <w:rFonts w:hint="eastAsia"/>
          <w:sz w:val="24"/>
          <w:szCs w:val="24"/>
          <w:highlight w:val="none"/>
        </w:rPr>
      </w:pPr>
    </w:p>
    <w:p>
      <w:pPr>
        <w:ind w:left="-141" w:leftChars="-67" w:right="451" w:rightChars="215" w:firstLine="564" w:firstLineChars="235"/>
        <w:rPr>
          <w:rFonts w:hint="eastAsia"/>
          <w:sz w:val="24"/>
          <w:szCs w:val="24"/>
          <w:highlight w:val="none"/>
        </w:rPr>
      </w:pPr>
      <w:r>
        <w:rPr>
          <w:rFonts w:hint="eastAsia"/>
          <w:sz w:val="24"/>
          <w:szCs w:val="24"/>
          <w:highlight w:val="none"/>
        </w:rPr>
        <w:t xml:space="preserve">                             【</w:t>
      </w:r>
      <w:r>
        <w:rPr>
          <w:sz w:val="24"/>
          <w:szCs w:val="24"/>
          <w:highlight w:val="none"/>
        </w:rPr>
        <w:fldChar w:fldCharType="begin">
          <w:ffData>
            <w:enabled/>
            <w:calcOnExit w:val="0"/>
            <w:textInput/>
          </w:ffData>
        </w:fldChar>
      </w:r>
      <w:r>
        <w:rPr>
          <w:sz w:val="24"/>
          <w:szCs w:val="24"/>
          <w:highlight w:val="none"/>
        </w:rPr>
        <w:instrText xml:space="preserve">FORMTEXT</w:instrText>
      </w:r>
      <w:r>
        <w:rPr>
          <w:sz w:val="24"/>
          <w:szCs w:val="24"/>
          <w:highlight w:val="none"/>
        </w:rPr>
        <w:fldChar w:fldCharType="separate"/>
      </w:r>
      <w:r>
        <w:rPr>
          <w:rFonts w:hint="eastAsia" w:cs="宋体"/>
          <w:color w:val="000000"/>
          <w:sz w:val="24"/>
          <w:szCs w:val="24"/>
          <w:highlight w:val="none"/>
          <w:shd w:val="clear" w:color="FFFFFF" w:fill="D9D9D9"/>
        </w:rPr>
        <w:fldChar w:fldCharType="begin">
          <w:ffData>
            <w:enabled/>
            <w:calcOnExit w:val="0"/>
            <w:textInput/>
          </w:ffData>
        </w:fldChar>
      </w:r>
      <w:r>
        <w:rPr>
          <w:rFonts w:hint="eastAsia" w:cs="宋体"/>
          <w:color w:val="000000"/>
          <w:sz w:val="24"/>
          <w:szCs w:val="24"/>
          <w:highlight w:val="none"/>
          <w:shd w:val="clear" w:color="FFFFFF" w:fill="D9D9D9"/>
        </w:rPr>
        <w:instrText xml:space="preserve">FORMTEXT</w:instrText>
      </w:r>
      <w:r>
        <w:rPr>
          <w:rFonts w:hint="eastAsia" w:cs="宋体"/>
          <w:color w:val="000000"/>
          <w:sz w:val="24"/>
          <w:szCs w:val="24"/>
          <w:highlight w:val="none"/>
          <w:shd w:val="clear" w:color="FFFFFF" w:fill="D9D9D9"/>
        </w:rPr>
        <w:fldChar w:fldCharType="separate"/>
      </w:r>
      <w:r>
        <w:rPr>
          <w:rFonts w:cs="宋体"/>
          <w:color w:val="000000"/>
          <w:sz w:val="24"/>
          <w:szCs w:val="24"/>
          <w:highlight w:val="none"/>
          <w:shd w:val="clear" w:color="FFFFFF" w:fill="D9D9D9"/>
        </w:rPr>
        <w:t>     </w:t>
      </w:r>
      <w:r>
        <w:rPr>
          <w:rFonts w:hint="eastAsia" w:cs="宋体"/>
          <w:color w:val="000000"/>
          <w:sz w:val="24"/>
          <w:szCs w:val="24"/>
          <w:highlight w:val="none"/>
          <w:shd w:val="clear" w:color="FFFFFF" w:fill="D9D9D9"/>
        </w:rPr>
        <w:fldChar w:fldCharType="end"/>
      </w:r>
      <w:r>
        <w:rPr>
          <w:sz w:val="24"/>
          <w:szCs w:val="24"/>
          <w:highlight w:val="none"/>
        </w:rPr>
        <w:t> </w:t>
      </w:r>
      <w:r>
        <w:rPr>
          <w:sz w:val="24"/>
          <w:szCs w:val="24"/>
          <w:highlight w:val="none"/>
        </w:rPr>
        <w:fldChar w:fldCharType="end"/>
      </w:r>
      <w:r>
        <w:rPr>
          <w:rFonts w:hint="eastAsia"/>
          <w:sz w:val="24"/>
          <w:szCs w:val="24"/>
          <w:highlight w:val="none"/>
        </w:rPr>
        <w:t>】年【</w:t>
      </w:r>
      <w:r>
        <w:rPr>
          <w:rFonts w:hint="eastAsia" w:cs="宋体"/>
          <w:color w:val="000000"/>
          <w:sz w:val="24"/>
          <w:szCs w:val="24"/>
          <w:highlight w:val="none"/>
          <w:shd w:val="clear" w:color="FFFFFF" w:fill="D9D9D9"/>
        </w:rPr>
        <w:fldChar w:fldCharType="begin">
          <w:ffData>
            <w:enabled/>
            <w:calcOnExit w:val="0"/>
            <w:textInput/>
          </w:ffData>
        </w:fldChar>
      </w:r>
      <w:r>
        <w:rPr>
          <w:rFonts w:hint="eastAsia" w:cs="宋体"/>
          <w:color w:val="000000"/>
          <w:sz w:val="24"/>
          <w:szCs w:val="24"/>
          <w:highlight w:val="none"/>
          <w:shd w:val="clear" w:color="FFFFFF" w:fill="D9D9D9"/>
        </w:rPr>
        <w:instrText xml:space="preserve">FORMTEXT</w:instrText>
      </w:r>
      <w:r>
        <w:rPr>
          <w:rFonts w:hint="eastAsia" w:cs="宋体"/>
          <w:color w:val="000000"/>
          <w:sz w:val="24"/>
          <w:szCs w:val="24"/>
          <w:highlight w:val="none"/>
          <w:shd w:val="clear" w:color="FFFFFF" w:fill="D9D9D9"/>
        </w:rPr>
        <w:fldChar w:fldCharType="separate"/>
      </w:r>
      <w:r>
        <w:rPr>
          <w:rFonts w:cs="宋体"/>
          <w:color w:val="000000"/>
          <w:sz w:val="24"/>
          <w:szCs w:val="24"/>
          <w:highlight w:val="none"/>
          <w:shd w:val="clear" w:color="FFFFFF" w:fill="D9D9D9"/>
        </w:rPr>
        <w:t>     </w:t>
      </w:r>
      <w:r>
        <w:rPr>
          <w:rFonts w:hint="eastAsia" w:cs="宋体"/>
          <w:color w:val="000000"/>
          <w:sz w:val="24"/>
          <w:szCs w:val="24"/>
          <w:highlight w:val="none"/>
          <w:shd w:val="clear" w:color="FFFFFF" w:fill="D9D9D9"/>
        </w:rPr>
        <w:fldChar w:fldCharType="end"/>
      </w:r>
      <w:r>
        <w:rPr>
          <w:rFonts w:hint="eastAsia"/>
          <w:sz w:val="24"/>
          <w:szCs w:val="24"/>
          <w:highlight w:val="none"/>
        </w:rPr>
        <w:t>】月【</w:t>
      </w:r>
      <w:r>
        <w:rPr>
          <w:rFonts w:hint="eastAsia" w:cs="宋体"/>
          <w:color w:val="000000"/>
          <w:sz w:val="24"/>
          <w:szCs w:val="24"/>
          <w:highlight w:val="none"/>
          <w:shd w:val="clear" w:color="FFFFFF" w:fill="D9D9D9"/>
        </w:rPr>
        <w:fldChar w:fldCharType="begin">
          <w:ffData>
            <w:enabled/>
            <w:calcOnExit w:val="0"/>
            <w:textInput/>
          </w:ffData>
        </w:fldChar>
      </w:r>
      <w:r>
        <w:rPr>
          <w:rFonts w:hint="eastAsia" w:cs="宋体"/>
          <w:color w:val="000000"/>
          <w:sz w:val="24"/>
          <w:szCs w:val="24"/>
          <w:highlight w:val="none"/>
          <w:shd w:val="clear" w:color="FFFFFF" w:fill="D9D9D9"/>
        </w:rPr>
        <w:instrText xml:space="preserve">FORMTEXT</w:instrText>
      </w:r>
      <w:r>
        <w:rPr>
          <w:rFonts w:hint="eastAsia" w:cs="宋体"/>
          <w:color w:val="000000"/>
          <w:sz w:val="24"/>
          <w:szCs w:val="24"/>
          <w:highlight w:val="none"/>
          <w:shd w:val="clear" w:color="FFFFFF" w:fill="D9D9D9"/>
        </w:rPr>
        <w:fldChar w:fldCharType="separate"/>
      </w:r>
      <w:r>
        <w:rPr>
          <w:rFonts w:cs="宋体"/>
          <w:color w:val="000000"/>
          <w:sz w:val="24"/>
          <w:szCs w:val="24"/>
          <w:highlight w:val="none"/>
          <w:shd w:val="clear" w:color="FFFFFF" w:fill="D9D9D9"/>
        </w:rPr>
        <w:t>     </w:t>
      </w:r>
      <w:r>
        <w:rPr>
          <w:rFonts w:hint="eastAsia" w:cs="宋体"/>
          <w:color w:val="000000"/>
          <w:sz w:val="24"/>
          <w:szCs w:val="24"/>
          <w:highlight w:val="none"/>
          <w:shd w:val="clear" w:color="FFFFFF" w:fill="D9D9D9"/>
        </w:rPr>
        <w:fldChar w:fldCharType="end"/>
      </w:r>
      <w:r>
        <w:rPr>
          <w:rFonts w:hint="eastAsia"/>
          <w:sz w:val="24"/>
          <w:szCs w:val="24"/>
          <w:highlight w:val="none"/>
        </w:rPr>
        <w:t>】日</w:t>
      </w:r>
    </w:p>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sectPr>
          <w:pgSz w:w="11849" w:h="16781"/>
          <w:pgMar w:top="964" w:right="1501" w:bottom="964" w:left="1985" w:header="850" w:footer="992" w:gutter="0"/>
          <w:pgNumType w:fmt="decimal"/>
          <w:cols w:space="720" w:num="1"/>
          <w:formProt w:val="1"/>
          <w:docGrid w:type="lines" w:linePitch="312" w:charSpace="0"/>
        </w:sectPr>
      </w:pPr>
    </w:p>
    <w:p>
      <w:pPr>
        <w:pStyle w:val="2"/>
        <w:ind w:left="424" w:leftChars="202" w:right="451" w:rightChars="215"/>
        <w:rPr>
          <w:sz w:val="24"/>
          <w:highlight w:val="none"/>
        </w:rPr>
      </w:pPr>
      <w:bookmarkStart w:id="50" w:name="_Toc382240675"/>
      <w:bookmarkStart w:id="51" w:name="_Toc1864"/>
      <w:r>
        <w:rPr>
          <w:rFonts w:hint="eastAsia"/>
          <w:sz w:val="24"/>
          <w:szCs w:val="24"/>
          <w:highlight w:val="none"/>
        </w:rPr>
        <w:t>附件二：《划款指令》</w:t>
      </w:r>
      <w:bookmarkEnd w:id="50"/>
      <w:r>
        <w:rPr>
          <w:rFonts w:hint="eastAsia"/>
          <w:sz w:val="24"/>
          <w:szCs w:val="24"/>
          <w:highlight w:val="none"/>
        </w:rPr>
        <w:t>（格式）</w:t>
      </w:r>
      <w:bookmarkEnd w:id="51"/>
    </w:p>
    <w:p>
      <w:pPr>
        <w:tabs>
          <w:tab w:val="left" w:pos="1455"/>
        </w:tabs>
        <w:spacing w:line="420" w:lineRule="exact"/>
        <w:ind w:left="424" w:leftChars="202" w:right="451" w:rightChars="215" w:firstLine="482" w:firstLineChars="200"/>
        <w:jc w:val="center"/>
        <w:rPr>
          <w:b/>
          <w:color w:val="000000"/>
          <w:sz w:val="24"/>
          <w:szCs w:val="20"/>
          <w:highlight w:val="none"/>
        </w:rPr>
      </w:pPr>
      <w:r>
        <w:rPr>
          <w:rFonts w:hint="eastAsia"/>
          <w:b/>
          <w:color w:val="000000"/>
          <w:sz w:val="24"/>
          <w:szCs w:val="20"/>
          <w:highlight w:val="none"/>
        </w:rPr>
        <w:t>划款指令</w:t>
      </w:r>
    </w:p>
    <w:p>
      <w:pPr>
        <w:tabs>
          <w:tab w:val="left" w:pos="1455"/>
        </w:tabs>
        <w:spacing w:line="420" w:lineRule="exact"/>
        <w:ind w:left="424" w:leftChars="202" w:right="451" w:rightChars="215"/>
        <w:jc w:val="center"/>
        <w:rPr>
          <w:color w:val="000000"/>
          <w:sz w:val="24"/>
          <w:szCs w:val="20"/>
          <w:highlight w:val="none"/>
        </w:rPr>
      </w:pPr>
      <w:r>
        <w:rPr>
          <w:rFonts w:hint="eastAsia"/>
          <w:color w:val="000000"/>
          <w:sz w:val="24"/>
          <w:szCs w:val="20"/>
          <w:highlight w:val="none"/>
        </w:rPr>
        <w:t>编</w:t>
      </w:r>
      <w:r>
        <w:rPr>
          <w:color w:val="000000"/>
          <w:sz w:val="24"/>
          <w:szCs w:val="20"/>
          <w:highlight w:val="none"/>
        </w:rPr>
        <w:t xml:space="preserve"> </w:t>
      </w:r>
      <w:r>
        <w:rPr>
          <w:rFonts w:hint="eastAsia"/>
          <w:color w:val="000000"/>
          <w:sz w:val="24"/>
          <w:szCs w:val="20"/>
          <w:highlight w:val="none"/>
        </w:rPr>
        <w:t>号：【</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w:t>
      </w:r>
    </w:p>
    <w:p>
      <w:pPr>
        <w:tabs>
          <w:tab w:val="left" w:pos="1455"/>
        </w:tabs>
        <w:spacing w:line="420" w:lineRule="exact"/>
        <w:ind w:left="424" w:leftChars="202" w:right="451" w:rightChars="215"/>
        <w:jc w:val="center"/>
        <w:rPr>
          <w:color w:val="000000"/>
          <w:sz w:val="24"/>
          <w:szCs w:val="20"/>
          <w:highlight w:val="none"/>
        </w:rPr>
      </w:pPr>
      <w:r>
        <w:rPr>
          <w:rFonts w:hint="eastAsia"/>
          <w:color w:val="000000"/>
          <w:sz w:val="24"/>
          <w:szCs w:val="20"/>
          <w:highlight w:val="none"/>
        </w:rPr>
        <w:t>【</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】年【</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】月【</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】日</w:t>
      </w:r>
    </w:p>
    <w:p>
      <w:pPr>
        <w:tabs>
          <w:tab w:val="left" w:pos="1455"/>
        </w:tabs>
        <w:spacing w:line="420" w:lineRule="exact"/>
        <w:ind w:left="0" w:leftChars="0" w:right="451" w:rightChars="215" w:firstLine="0"/>
        <w:rPr>
          <w:color w:val="000000"/>
          <w:sz w:val="24"/>
          <w:szCs w:val="20"/>
          <w:highlight w:val="none"/>
        </w:rPr>
      </w:pPr>
      <w:r>
        <w:rPr>
          <w:rFonts w:hint="eastAsia"/>
          <w:color w:val="000000"/>
          <w:sz w:val="24"/>
          <w:szCs w:val="20"/>
          <w:highlight w:val="none"/>
        </w:rPr>
        <w:t>中国民生银行股份有限公司：</w:t>
      </w:r>
    </w:p>
    <w:p>
      <w:pPr>
        <w:tabs>
          <w:tab w:val="left" w:pos="1455"/>
        </w:tabs>
        <w:spacing w:beforeLines="0" w:afterLines="0" w:line="420" w:lineRule="exact"/>
        <w:ind w:left="0" w:leftChars="0" w:right="451" w:rightChars="215" w:firstLine="480" w:firstLineChars="200"/>
        <w:rPr>
          <w:color w:val="000000"/>
          <w:sz w:val="24"/>
          <w:szCs w:val="20"/>
          <w:highlight w:val="none"/>
        </w:rPr>
      </w:pPr>
      <w:r>
        <w:rPr>
          <w:rFonts w:hint="eastAsia"/>
          <w:color w:val="000000"/>
          <w:sz w:val="24"/>
          <w:szCs w:val="20"/>
          <w:highlight w:val="none"/>
        </w:rPr>
        <w:t>敬请贵行根据以下所提供的收款人名称、开户行、账号、到账日期和划款金额及时办理划款手续。</w:t>
      </w:r>
    </w:p>
    <w:tbl>
      <w:tblPr>
        <w:tblStyle w:val="15"/>
        <w:tblW w:w="934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2491"/>
        <w:gridCol w:w="2647"/>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107" w:leftChars="-51" w:right="0"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划款日期</w:t>
            </w:r>
          </w:p>
        </w:tc>
        <w:tc>
          <w:tcPr>
            <w:tcW w:w="2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2301" w:right="34" w:rightChars="16" w:hanging="2301"/>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r>
              <w:rPr>
                <w:rFonts w:hint="eastAsia" w:ascii="Calibri" w:hAnsi="Calibri" w:eastAsia="宋体" w:cs="Times New Roman"/>
                <w:color w:val="000000"/>
                <w:sz w:val="24"/>
                <w:szCs w:val="20"/>
                <w:highlight w:val="none"/>
              </w:rPr>
              <w:t>年</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r>
              <w:rPr>
                <w:rFonts w:hint="eastAsia" w:ascii="Calibri" w:hAnsi="Calibri" w:eastAsia="宋体" w:cs="Times New Roman"/>
                <w:color w:val="000000"/>
                <w:sz w:val="24"/>
                <w:szCs w:val="20"/>
                <w:highlight w:val="none"/>
              </w:rPr>
              <w:t>月</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r>
              <w:rPr>
                <w:rFonts w:hint="eastAsia" w:ascii="Calibri" w:hAnsi="Calibri" w:eastAsia="宋体" w:cs="Times New Roman"/>
                <w:color w:val="000000"/>
                <w:sz w:val="24"/>
                <w:szCs w:val="20"/>
                <w:highlight w:val="none"/>
              </w:rPr>
              <w:t>日</w:t>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638" w:leftChars="-304" w:right="451" w:rightChars="215" w:firstLine="849" w:firstLineChars="354"/>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最迟到账日期</w:t>
            </w:r>
          </w:p>
        </w:tc>
        <w:tc>
          <w:tcPr>
            <w:tcW w:w="28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0" w:right="-107" w:rightChars="-51" w:firstLine="1"/>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hint="eastAsia" w:ascii="Calibri" w:hAnsi="Calibri" w:eastAsia="宋体" w:cs="MS Mincho"/>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r>
              <w:rPr>
                <w:rFonts w:hint="eastAsia" w:ascii="Calibri" w:hAnsi="Calibri" w:eastAsia="宋体" w:cs="Times New Roman"/>
                <w:color w:val="000000"/>
                <w:sz w:val="24"/>
                <w:szCs w:val="20"/>
                <w:highlight w:val="none"/>
              </w:rPr>
              <w:t>年</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hint="eastAsia" w:ascii="Calibri" w:hAnsi="Calibri" w:eastAsia="宋体" w:cs="MS Mincho"/>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r>
              <w:rPr>
                <w:rFonts w:hint="eastAsia" w:ascii="Calibri" w:hAnsi="Calibri" w:eastAsia="宋体" w:cs="宋体"/>
                <w:color w:val="000000"/>
                <w:sz w:val="24"/>
                <w:szCs w:val="20"/>
                <w:highlight w:val="none"/>
                <w:shd w:val="clear" w:color="FFFFFF" w:fill="D9D9D9"/>
              </w:rPr>
              <w:t xml:space="preserve">   </w:t>
            </w:r>
            <w:r>
              <w:rPr>
                <w:rFonts w:hint="eastAsia" w:ascii="Calibri" w:hAnsi="Calibri" w:eastAsia="宋体" w:cs="Times New Roman"/>
                <w:color w:val="000000"/>
                <w:sz w:val="24"/>
                <w:szCs w:val="20"/>
                <w:highlight w:val="none"/>
              </w:rPr>
              <w:t>月</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r>
              <w:rPr>
                <w:rFonts w:hint="eastAsia" w:ascii="Calibri" w:hAnsi="Calibri" w:eastAsia="宋体" w:cs="Times New Roman"/>
                <w:color w:val="000000"/>
                <w:sz w:val="24"/>
                <w:szCs w:val="2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107" w:leftChars="-51" w:right="0"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付款人</w:t>
            </w:r>
          </w:p>
        </w:tc>
        <w:tc>
          <w:tcPr>
            <w:tcW w:w="2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收款人</w:t>
            </w:r>
          </w:p>
        </w:tc>
        <w:tc>
          <w:tcPr>
            <w:tcW w:w="28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107" w:leftChars="-51" w:right="0"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划出账号</w:t>
            </w:r>
          </w:p>
        </w:tc>
        <w:tc>
          <w:tcPr>
            <w:tcW w:w="2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划入账号</w:t>
            </w:r>
          </w:p>
        </w:tc>
        <w:tc>
          <w:tcPr>
            <w:tcW w:w="28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107" w:leftChars="-51" w:right="0"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开户行</w:t>
            </w:r>
          </w:p>
        </w:tc>
        <w:tc>
          <w:tcPr>
            <w:tcW w:w="24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开户行</w:t>
            </w:r>
          </w:p>
        </w:tc>
        <w:tc>
          <w:tcPr>
            <w:tcW w:w="28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107" w:leftChars="-51" w:right="0"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划款金额</w:t>
            </w:r>
          </w:p>
        </w:tc>
        <w:tc>
          <w:tcPr>
            <w:tcW w:w="79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（大写）</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107" w:leftChars="-51" w:right="0"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划款金额</w:t>
            </w:r>
          </w:p>
        </w:tc>
        <w:tc>
          <w:tcPr>
            <w:tcW w:w="79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（小写）</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107" w:leftChars="-51" w:right="0"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划款用途</w:t>
            </w:r>
          </w:p>
        </w:tc>
        <w:tc>
          <w:tcPr>
            <w:tcW w:w="79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1"/>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934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107" w:leftChars="-51" w:right="451" w:rightChars="215"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备注：</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trPr>
        <w:tc>
          <w:tcPr>
            <w:tcW w:w="9340" w:type="dxa"/>
            <w:gridSpan w:val="4"/>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420" w:lineRule="exact"/>
              <w:ind w:left="-107" w:leftChars="-51" w:right="451" w:rightChars="215"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预留印鉴：</w:t>
            </w:r>
          </w:p>
          <w:p>
            <w:pPr>
              <w:keepNext w:val="0"/>
              <w:keepLines w:val="0"/>
              <w:suppressLineNumbers w:val="0"/>
              <w:spacing w:before="0" w:beforeAutospacing="0" w:after="0" w:afterAutospacing="0" w:line="420" w:lineRule="exact"/>
              <w:ind w:left="-107" w:leftChars="-51" w:right="451" w:rightChars="215" w:firstLine="1"/>
              <w:rPr>
                <w:rFonts w:ascii="Calibri" w:hAnsi="Calibri" w:eastAsia="宋体" w:cs="Times New Roman"/>
                <w:color w:val="000000"/>
                <w:sz w:val="24"/>
                <w:szCs w:val="20"/>
                <w:highlight w:val="none"/>
              </w:rPr>
            </w:pPr>
          </w:p>
          <w:p>
            <w:pPr>
              <w:keepNext w:val="0"/>
              <w:keepLines w:val="0"/>
              <w:suppressLineNumbers w:val="0"/>
              <w:spacing w:before="0" w:beforeAutospacing="0" w:after="0" w:afterAutospacing="0" w:line="420" w:lineRule="exact"/>
              <w:ind w:left="-107" w:leftChars="-51" w:right="451" w:rightChars="215" w:firstLine="1"/>
              <w:rPr>
                <w:rFonts w:ascii="Calibri" w:hAnsi="Calibri" w:eastAsia="宋体" w:cs="Times New Roman"/>
                <w:color w:val="000000"/>
                <w:sz w:val="24"/>
                <w:szCs w:val="20"/>
                <w:highlight w:val="none"/>
              </w:rPr>
            </w:pPr>
          </w:p>
          <w:p>
            <w:pPr>
              <w:keepNext w:val="0"/>
              <w:keepLines w:val="0"/>
              <w:suppressLineNumbers w:val="0"/>
              <w:spacing w:before="0" w:beforeAutospacing="0" w:after="0" w:afterAutospacing="0" w:line="420" w:lineRule="exact"/>
              <w:ind w:left="-107" w:leftChars="-51" w:right="451" w:rightChars="215" w:firstLine="1"/>
              <w:rPr>
                <w:rFonts w:ascii="Calibri" w:hAnsi="Calibri" w:eastAsia="宋体" w:cs="Times New Roman"/>
                <w:color w:val="000000"/>
                <w:sz w:val="24"/>
                <w:szCs w:val="20"/>
                <w:highlight w:val="none"/>
              </w:rPr>
            </w:pPr>
          </w:p>
          <w:p>
            <w:pPr>
              <w:keepNext w:val="0"/>
              <w:keepLines w:val="0"/>
              <w:suppressLineNumbers w:val="0"/>
              <w:spacing w:before="0" w:beforeAutospacing="0" w:after="0" w:afterAutospacing="0" w:line="420" w:lineRule="exact"/>
              <w:ind w:left="-107" w:leftChars="-51" w:right="451" w:rightChars="215" w:firstLine="1"/>
              <w:rPr>
                <w:rFonts w:ascii="Calibri" w:hAnsi="Calibri" w:eastAsia="宋体" w:cs="Times New Roman"/>
                <w:color w:val="000000"/>
                <w:sz w:val="24"/>
                <w:szCs w:val="20"/>
                <w:highlight w:val="none"/>
              </w:rPr>
            </w:pPr>
          </w:p>
          <w:p>
            <w:pPr>
              <w:keepNext w:val="0"/>
              <w:keepLines w:val="0"/>
              <w:suppressLineNumbers w:val="0"/>
              <w:spacing w:before="0" w:beforeAutospacing="0" w:after="0" w:afterAutospacing="0" w:line="420" w:lineRule="exact"/>
              <w:ind w:left="-107" w:leftChars="-51" w:right="451" w:rightChars="215" w:firstLine="1"/>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经办：</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r>
              <w:rPr>
                <w:rFonts w:hint="eastAsia" w:ascii="Calibri" w:hAnsi="Calibri" w:eastAsia="宋体" w:cs="Times New Roman"/>
                <w:color w:val="000000"/>
                <w:sz w:val="24"/>
                <w:szCs w:val="20"/>
                <w:highlight w:val="none"/>
              </w:rPr>
              <w:t xml:space="preserve">            复核：</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r>
              <w:rPr>
                <w:rFonts w:hint="eastAsia" w:ascii="Calibri" w:hAnsi="Calibri" w:eastAsia="宋体" w:cs="Times New Roman"/>
                <w:color w:val="000000"/>
                <w:sz w:val="24"/>
                <w:szCs w:val="20"/>
                <w:highlight w:val="none"/>
              </w:rPr>
              <w:t xml:space="preserve">         审批：</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9340" w:type="dxa"/>
            <w:gridSpan w:val="4"/>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420" w:lineRule="exact"/>
              <w:ind w:left="-107" w:leftChars="-51" w:right="451" w:rightChars="215"/>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托管银行</w:t>
            </w:r>
          </w:p>
          <w:p>
            <w:pPr>
              <w:keepNext w:val="0"/>
              <w:keepLines w:val="0"/>
              <w:suppressLineNumbers w:val="0"/>
              <w:spacing w:before="0" w:beforeAutospacing="0" w:after="0" w:afterAutospacing="0" w:line="420" w:lineRule="exact"/>
              <w:ind w:left="-107" w:leftChars="-51" w:right="451" w:rightChars="215" w:firstLine="480" w:firstLineChars="200"/>
              <w:rPr>
                <w:rFonts w:ascii="Calibri" w:hAnsi="Calibri" w:eastAsia="宋体" w:cs="Times New Roman"/>
                <w:color w:val="000000"/>
                <w:sz w:val="24"/>
                <w:szCs w:val="20"/>
                <w:highlight w:val="none"/>
              </w:rPr>
            </w:pPr>
          </w:p>
          <w:p>
            <w:pPr>
              <w:keepNext w:val="0"/>
              <w:keepLines w:val="0"/>
              <w:suppressLineNumbers w:val="0"/>
              <w:spacing w:before="0" w:beforeAutospacing="0" w:after="0" w:afterAutospacing="0" w:line="420" w:lineRule="exact"/>
              <w:ind w:left="-107" w:leftChars="-51" w:right="451" w:rightChars="215"/>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经办：</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r>
              <w:rPr>
                <w:rFonts w:hint="eastAsia" w:ascii="Calibri" w:hAnsi="Calibri" w:eastAsia="宋体" w:cs="Times New Roman"/>
                <w:color w:val="000000"/>
                <w:sz w:val="24"/>
                <w:szCs w:val="20"/>
                <w:highlight w:val="none"/>
              </w:rPr>
              <w:t xml:space="preserve">           复核：</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r>
              <w:rPr>
                <w:rFonts w:hint="eastAsia" w:ascii="Calibri" w:hAnsi="Calibri" w:eastAsia="宋体" w:cs="Times New Roman"/>
                <w:color w:val="000000"/>
                <w:sz w:val="24"/>
                <w:szCs w:val="20"/>
                <w:highlight w:val="none"/>
              </w:rPr>
              <w:t xml:space="preserve">          审批：</w:t>
            </w: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bl>
    <w:p>
      <w:pPr>
        <w:tabs>
          <w:tab w:val="left" w:pos="1455"/>
        </w:tabs>
        <w:spacing w:line="420" w:lineRule="exact"/>
        <w:ind w:left="424" w:leftChars="202" w:right="451" w:rightChars="215" w:firstLine="3840" w:firstLineChars="1600"/>
        <w:rPr>
          <w:rFonts w:hint="eastAsia"/>
          <w:color w:val="000000"/>
          <w:sz w:val="24"/>
          <w:szCs w:val="20"/>
          <w:highlight w:val="none"/>
        </w:rPr>
      </w:pPr>
    </w:p>
    <w:p>
      <w:pPr>
        <w:tabs>
          <w:tab w:val="left" w:pos="1455"/>
        </w:tabs>
        <w:spacing w:line="420" w:lineRule="exact"/>
        <w:ind w:left="424" w:leftChars="202" w:right="451" w:rightChars="215" w:firstLine="3840" w:firstLineChars="1600"/>
        <w:rPr>
          <w:rFonts w:hint="eastAsia"/>
          <w:color w:val="000000"/>
          <w:sz w:val="24"/>
          <w:szCs w:val="20"/>
          <w:highlight w:val="none"/>
        </w:rPr>
      </w:pPr>
    </w:p>
    <w:p>
      <w:pPr>
        <w:tabs>
          <w:tab w:val="left" w:pos="1455"/>
        </w:tabs>
        <w:spacing w:line="420" w:lineRule="exact"/>
        <w:ind w:left="424" w:leftChars="202" w:right="451" w:rightChars="215" w:firstLine="480" w:firstLineChars="200"/>
        <w:jc w:val="center"/>
        <w:rPr>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pPr>
    </w:p>
    <w:p>
      <w:pPr>
        <w:pStyle w:val="2"/>
        <w:ind w:left="424" w:leftChars="202" w:right="451" w:rightChars="215"/>
        <w:rPr>
          <w:sz w:val="24"/>
          <w:szCs w:val="24"/>
          <w:highlight w:val="none"/>
        </w:rPr>
      </w:pPr>
      <w:r>
        <w:rPr>
          <w:rFonts w:hint="eastAsia"/>
          <w:b w:val="0"/>
          <w:color w:val="000000"/>
          <w:sz w:val="24"/>
          <w:szCs w:val="20"/>
          <w:highlight w:val="none"/>
        </w:rPr>
        <w:br w:type="page"/>
      </w:r>
      <w:bookmarkStart w:id="52" w:name="_Toc25764"/>
      <w:bookmarkStart w:id="53" w:name="_Toc382240676"/>
      <w:r>
        <w:rPr>
          <w:rFonts w:hint="eastAsia"/>
          <w:sz w:val="24"/>
          <w:szCs w:val="24"/>
          <w:highlight w:val="none"/>
        </w:rPr>
        <w:t>附件三：《授权通知书》（格式）</w:t>
      </w:r>
      <w:bookmarkEnd w:id="52"/>
      <w:bookmarkEnd w:id="53"/>
    </w:p>
    <w:p>
      <w:pPr>
        <w:tabs>
          <w:tab w:val="left" w:pos="1455"/>
        </w:tabs>
        <w:spacing w:line="420" w:lineRule="exact"/>
        <w:ind w:left="424" w:leftChars="202" w:right="451" w:rightChars="215"/>
        <w:jc w:val="center"/>
        <w:rPr>
          <w:b/>
          <w:color w:val="000000"/>
          <w:sz w:val="24"/>
          <w:szCs w:val="20"/>
          <w:highlight w:val="none"/>
        </w:rPr>
      </w:pPr>
      <w:r>
        <w:rPr>
          <w:rFonts w:hint="eastAsia"/>
          <w:b/>
          <w:color w:val="000000"/>
          <w:sz w:val="24"/>
          <w:szCs w:val="20"/>
          <w:highlight w:val="none"/>
        </w:rPr>
        <w:t>授权通知书</w:t>
      </w:r>
    </w:p>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rPr>
          <w:color w:val="000000"/>
          <w:sz w:val="24"/>
          <w:szCs w:val="20"/>
          <w:highlight w:val="none"/>
        </w:rPr>
      </w:pPr>
      <w:r>
        <w:rPr>
          <w:rFonts w:hint="eastAsia"/>
          <w:color w:val="000000"/>
          <w:sz w:val="24"/>
          <w:szCs w:val="20"/>
          <w:highlight w:val="none"/>
        </w:rPr>
        <w:t>中国民生银行股份有限公司：</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根据贵、我双方于【</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】年【</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】月【</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】日签订的《</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hint="eastAsia" w:cs="宋体"/>
          <w:color w:val="000000"/>
          <w:sz w:val="24"/>
          <w:szCs w:val="20"/>
          <w:highlight w:val="none"/>
          <w:u w:val="single"/>
          <w:shd w:val="clear" w:color="FFFFFF" w:fill="D9D9D9"/>
        </w:rPr>
        <w:t>太原市城区农村信用合作联社信盈宝系列</w:t>
      </w:r>
      <w:r>
        <w:rPr>
          <w:rFonts w:hint="eastAsia" w:cs="宋体"/>
          <w:color w:val="000000"/>
          <w:sz w:val="24"/>
          <w:szCs w:val="20"/>
          <w:highlight w:val="none"/>
          <w:u w:val="single"/>
          <w:shd w:val="clear" w:color="FFFFFF" w:fill="D9D9D9"/>
        </w:rPr>
        <w:fldChar w:fldCharType="end"/>
      </w:r>
      <w:r>
        <w:rPr>
          <w:rFonts w:hint="eastAsia"/>
          <w:color w:val="000000"/>
          <w:sz w:val="24"/>
          <w:szCs w:val="20"/>
          <w:highlight w:val="none"/>
        </w:rPr>
        <w:t>理财计划托管协议》，我公司授权以下人员代表我公司向你行发送托管协议项下理财资金划拨指令以及其他相关通知。现将指令发送用章样本及有关人员签字样本及相应权限留给你行，请在使用时核验。</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上述被授权人在授权范围内向你行发送指令的真实性、准确性及合法性由我公司负全部责任。</w:t>
      </w:r>
    </w:p>
    <w:p>
      <w:pPr>
        <w:tabs>
          <w:tab w:val="left" w:pos="8647"/>
        </w:tabs>
        <w:ind w:right="592" w:rightChars="282" w:firstLine="424" w:firstLineChars="202"/>
        <w:rPr>
          <w:highlight w:val="none"/>
        </w:rPr>
      </w:pPr>
    </w:p>
    <w:tbl>
      <w:tblPr>
        <w:tblStyle w:val="15"/>
        <w:tblW w:w="864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2242"/>
        <w:gridCol w:w="2136"/>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43"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姓  名</w:t>
            </w:r>
          </w:p>
        </w:tc>
        <w:tc>
          <w:tcPr>
            <w:tcW w:w="2242"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权  限</w:t>
            </w:r>
          </w:p>
        </w:tc>
        <w:tc>
          <w:tcPr>
            <w:tcW w:w="213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0" w:firstLineChars="17"/>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签字样本</w:t>
            </w:r>
          </w:p>
        </w:tc>
        <w:tc>
          <w:tcPr>
            <w:tcW w:w="212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151" w:firstLineChars="63"/>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印章样本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2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13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12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2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13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12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2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13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12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2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13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12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2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13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12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jc w:val="center"/>
              <w:rPr>
                <w:rFonts w:ascii="Calibri" w:hAnsi="Calibri" w:eastAsia="宋体" w:cs="Times New Roman"/>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641" w:type="dxa"/>
            <w:gridSpan w:val="4"/>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8647"/>
              </w:tabs>
              <w:spacing w:before="0" w:beforeAutospacing="0" w:after="0" w:afterAutospacing="0" w:line="300" w:lineRule="auto"/>
              <w:ind w:left="0" w:right="592" w:rightChars="282" w:firstLine="484" w:firstLineChars="202"/>
              <w:rPr>
                <w:rFonts w:ascii="Calibri" w:hAnsi="Calibri" w:eastAsia="宋体" w:cs="Times New Roman"/>
                <w:highlight w:val="none"/>
              </w:rPr>
            </w:pPr>
            <w:r>
              <w:rPr>
                <w:rFonts w:hint="eastAsia" w:ascii="Calibri" w:hAnsi="Calibri" w:eastAsia="宋体" w:cs="Times New Roman"/>
                <w:color w:val="000000"/>
                <w:sz w:val="24"/>
                <w:szCs w:val="20"/>
                <w:highlight w:val="none"/>
              </w:rPr>
              <w:t>权限类型：经办、复核、审批。</w:t>
            </w:r>
          </w:p>
        </w:tc>
      </w:tr>
    </w:tbl>
    <w:p>
      <w:pPr>
        <w:tabs>
          <w:tab w:val="left" w:pos="1455"/>
        </w:tabs>
        <w:spacing w:line="420" w:lineRule="exact"/>
        <w:ind w:left="424" w:leftChars="202" w:right="451" w:rightChars="215" w:firstLine="480" w:firstLineChars="200"/>
        <w:jc w:val="right"/>
        <w:rPr>
          <w:color w:val="000000"/>
          <w:sz w:val="24"/>
          <w:szCs w:val="20"/>
          <w:highlight w:val="none"/>
        </w:rPr>
      </w:pPr>
    </w:p>
    <w:p>
      <w:pPr>
        <w:tabs>
          <w:tab w:val="left" w:pos="1455"/>
        </w:tabs>
        <w:spacing w:line="420" w:lineRule="exact"/>
        <w:ind w:left="424" w:leftChars="202" w:right="451" w:rightChars="215" w:firstLine="480" w:firstLineChars="200"/>
        <w:jc w:val="right"/>
        <w:rPr>
          <w:rFonts w:hint="eastAsia"/>
          <w:color w:val="000000"/>
          <w:sz w:val="24"/>
          <w:szCs w:val="20"/>
          <w:highlight w:val="none"/>
        </w:rPr>
      </w:pPr>
      <w:r>
        <w:rPr>
          <w:rFonts w:hint="eastAsia"/>
          <w:color w:val="000000"/>
          <w:sz w:val="24"/>
          <w:szCs w:val="20"/>
          <w:highlight w:val="none"/>
        </w:rPr>
        <w:t xml:space="preserve">         </w:t>
      </w:r>
    </w:p>
    <w:p>
      <w:pPr>
        <w:tabs>
          <w:tab w:val="left" w:pos="1455"/>
        </w:tabs>
        <w:spacing w:line="420" w:lineRule="exact"/>
        <w:ind w:left="424" w:leftChars="202" w:right="451" w:rightChars="215" w:firstLine="480" w:firstLineChars="200"/>
        <w:jc w:val="center"/>
        <w:rPr>
          <w:color w:val="000000"/>
          <w:sz w:val="24"/>
          <w:szCs w:val="20"/>
          <w:highlight w:val="none"/>
        </w:rPr>
      </w:pPr>
      <w:r>
        <w:rPr>
          <w:rFonts w:hint="eastAsia"/>
          <w:color w:val="000000"/>
          <w:sz w:val="24"/>
          <w:szCs w:val="20"/>
          <w:highlight w:val="none"/>
        </w:rPr>
        <w:t xml:space="preserve">        管理人(公章）：</w:t>
      </w:r>
      <w:r>
        <w:rPr>
          <w:rFonts w:hint="eastAsia"/>
          <w:color w:val="000000"/>
          <w:sz w:val="24"/>
          <w:szCs w:val="20"/>
          <w:highlight w:val="none"/>
          <w:u w:val="single"/>
          <w:shd w:val="clear" w:color="FFFFFF" w:fill="D9D9D9"/>
        </w:rPr>
        <w:fldChar w:fldCharType="begin">
          <w:ffData>
            <w:enabled/>
            <w:calcOnExit w:val="0"/>
            <w:textInput/>
          </w:ffData>
        </w:fldChar>
      </w:r>
      <w:r>
        <w:rPr>
          <w:rFonts w:hint="eastAsia"/>
          <w:color w:val="000000"/>
          <w:sz w:val="24"/>
          <w:szCs w:val="20"/>
          <w:highlight w:val="none"/>
          <w:u w:val="single"/>
          <w:shd w:val="clear" w:color="FFFFFF" w:fill="D9D9D9"/>
        </w:rPr>
        <w:instrText xml:space="preserve">FORMTEXT</w:instrText>
      </w:r>
      <w:r>
        <w:rPr>
          <w:rFonts w:hint="eastAsia"/>
          <w:color w:val="000000"/>
          <w:sz w:val="24"/>
          <w:szCs w:val="20"/>
          <w:highlight w:val="none"/>
          <w:u w:val="single"/>
          <w:shd w:val="clear" w:color="FFFFFF" w:fill="D9D9D9"/>
        </w:rPr>
        <w:fldChar w:fldCharType="separate"/>
      </w:r>
      <w:r>
        <w:rPr>
          <w:rFonts w:hint="eastAsia"/>
          <w:color w:val="000000"/>
          <w:sz w:val="24"/>
          <w:szCs w:val="20"/>
          <w:highlight w:val="none"/>
          <w:u w:val="single"/>
          <w:shd w:val="clear" w:color="FFFFFF" w:fill="D9D9D9"/>
        </w:rPr>
        <w:t>     </w:t>
      </w:r>
      <w:r>
        <w:rPr>
          <w:rFonts w:hint="eastAsia"/>
          <w:color w:val="000000"/>
          <w:sz w:val="24"/>
          <w:szCs w:val="20"/>
          <w:highlight w:val="none"/>
          <w:u w:val="single"/>
          <w:shd w:val="clear" w:color="FFFFFF" w:fill="D9D9D9"/>
        </w:rPr>
        <w:fldChar w:fldCharType="end"/>
      </w:r>
    </w:p>
    <w:p>
      <w:pPr>
        <w:tabs>
          <w:tab w:val="left" w:pos="1455"/>
        </w:tabs>
        <w:spacing w:line="420" w:lineRule="exact"/>
        <w:ind w:left="424" w:leftChars="202" w:right="451" w:rightChars="215" w:firstLine="480" w:firstLineChars="200"/>
        <w:jc w:val="right"/>
        <w:rPr>
          <w:color w:val="000000"/>
          <w:sz w:val="24"/>
          <w:szCs w:val="20"/>
          <w:highlight w:val="none"/>
        </w:rPr>
      </w:pPr>
    </w:p>
    <w:p>
      <w:pPr>
        <w:tabs>
          <w:tab w:val="left" w:pos="1455"/>
        </w:tabs>
        <w:spacing w:line="420" w:lineRule="exact"/>
        <w:ind w:left="424" w:leftChars="202" w:right="451" w:rightChars="215" w:firstLine="480" w:firstLineChars="200"/>
        <w:jc w:val="right"/>
        <w:rPr>
          <w:color w:val="000000"/>
          <w:sz w:val="24"/>
          <w:szCs w:val="20"/>
          <w:highlight w:val="none"/>
        </w:rPr>
      </w:pPr>
      <w:r>
        <w:rPr>
          <w:rFonts w:hint="eastAsia"/>
          <w:color w:val="000000"/>
          <w:sz w:val="24"/>
          <w:szCs w:val="20"/>
          <w:highlight w:val="none"/>
        </w:rPr>
        <w:t>法定代表人（或授权代表）（签字</w:t>
      </w:r>
      <w:r>
        <w:rPr>
          <w:rFonts w:hint="eastAsia" w:cs="宋体"/>
          <w:color w:val="000000"/>
          <w:sz w:val="24"/>
          <w:szCs w:val="20"/>
          <w:highlight w:val="none"/>
        </w:rPr>
        <w:t>/签章</w:t>
      </w:r>
      <w:r>
        <w:rPr>
          <w:rFonts w:hint="eastAsia"/>
          <w:color w:val="000000"/>
          <w:sz w:val="24"/>
          <w:szCs w:val="20"/>
          <w:highlight w:val="none"/>
        </w:rPr>
        <w:t>）：</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p>
    <w:p>
      <w:pPr>
        <w:tabs>
          <w:tab w:val="left" w:pos="1455"/>
        </w:tabs>
        <w:spacing w:line="420" w:lineRule="exact"/>
        <w:ind w:left="424" w:leftChars="202" w:right="451" w:rightChars="215" w:firstLine="480" w:firstLineChars="200"/>
        <w:jc w:val="right"/>
        <w:rPr>
          <w:color w:val="000000"/>
          <w:sz w:val="24"/>
          <w:szCs w:val="20"/>
          <w:highlight w:val="none"/>
        </w:rPr>
      </w:pPr>
    </w:p>
    <w:p>
      <w:pPr>
        <w:tabs>
          <w:tab w:val="left" w:pos="1455"/>
        </w:tabs>
        <w:spacing w:line="420" w:lineRule="exact"/>
        <w:ind w:left="424" w:leftChars="202" w:right="451" w:rightChars="215" w:firstLine="480" w:firstLineChars="200"/>
        <w:jc w:val="right"/>
        <w:rPr>
          <w:rFonts w:hint="eastAsia"/>
          <w:color w:val="000000"/>
          <w:sz w:val="24"/>
          <w:szCs w:val="20"/>
          <w:highlight w:val="none"/>
        </w:rPr>
      </w:pPr>
      <w:r>
        <w:rPr>
          <w:rFonts w:hint="eastAsia"/>
          <w:color w:val="000000"/>
          <w:sz w:val="24"/>
          <w:szCs w:val="20"/>
          <w:highlight w:val="none"/>
          <w:lang w:eastAsia="zh-CN"/>
        </w:rPr>
        <w:t>生效日期：</w:t>
      </w:r>
      <w:r>
        <w:rPr>
          <w:rFonts w:hint="eastAsia"/>
          <w:color w:val="000000"/>
          <w:sz w:val="24"/>
          <w:szCs w:val="20"/>
          <w:highlight w:val="none"/>
        </w:rPr>
        <w:t>【</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】年【</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】月【</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】日</w:t>
      </w:r>
    </w:p>
    <w:p>
      <w:pPr>
        <w:tabs>
          <w:tab w:val="left" w:pos="1455"/>
        </w:tabs>
        <w:spacing w:line="420" w:lineRule="exact"/>
        <w:ind w:left="424" w:leftChars="202" w:right="451" w:rightChars="215" w:firstLine="480" w:firstLineChars="200"/>
        <w:jc w:val="center"/>
        <w:rPr>
          <w:rFonts w:hint="eastAsia"/>
          <w:color w:val="000000"/>
          <w:sz w:val="24"/>
          <w:szCs w:val="20"/>
          <w:highlight w:val="none"/>
        </w:rPr>
      </w:pPr>
    </w:p>
    <w:p>
      <w:pPr>
        <w:tabs>
          <w:tab w:val="left" w:pos="1455"/>
        </w:tabs>
        <w:spacing w:line="420" w:lineRule="exact"/>
        <w:ind w:left="0" w:leftChars="0" w:right="451" w:rightChars="215" w:firstLine="0" w:firstLineChars="0"/>
        <w:jc w:val="both"/>
        <w:rPr>
          <w:rFonts w:hint="eastAsia"/>
          <w:color w:val="000000"/>
          <w:sz w:val="24"/>
          <w:szCs w:val="20"/>
          <w:highlight w:val="none"/>
        </w:rPr>
        <w:sectPr>
          <w:pgSz w:w="11849" w:h="16781"/>
          <w:pgMar w:top="964" w:right="1501" w:bottom="964" w:left="964" w:header="850" w:footer="992" w:gutter="0"/>
          <w:pgNumType w:fmt="decimal"/>
          <w:cols w:space="720" w:num="1"/>
          <w:formProt w:val="1"/>
          <w:docGrid w:type="lines" w:linePitch="312" w:charSpace="0"/>
        </w:sectPr>
      </w:pPr>
    </w:p>
    <w:p>
      <w:pPr>
        <w:pStyle w:val="2"/>
        <w:ind w:left="424" w:leftChars="202" w:right="451" w:rightChars="215"/>
        <w:rPr>
          <w:sz w:val="24"/>
          <w:szCs w:val="24"/>
          <w:highlight w:val="none"/>
        </w:rPr>
      </w:pPr>
      <w:bookmarkStart w:id="54" w:name="_Toc382240677"/>
      <w:bookmarkStart w:id="55" w:name="_Toc18283"/>
      <w:r>
        <w:rPr>
          <w:rFonts w:hint="eastAsia"/>
          <w:sz w:val="24"/>
          <w:szCs w:val="24"/>
          <w:highlight w:val="none"/>
        </w:rPr>
        <w:t>附件四：《预留印鉴》</w:t>
      </w:r>
      <w:bookmarkEnd w:id="54"/>
      <w:bookmarkEnd w:id="55"/>
    </w:p>
    <w:p>
      <w:pPr>
        <w:tabs>
          <w:tab w:val="left" w:pos="1455"/>
        </w:tabs>
        <w:spacing w:line="420" w:lineRule="exact"/>
        <w:ind w:left="424" w:leftChars="202" w:right="451" w:rightChars="215" w:firstLine="482" w:firstLineChars="200"/>
        <w:jc w:val="center"/>
        <w:rPr>
          <w:b/>
          <w:color w:val="000000"/>
          <w:sz w:val="24"/>
          <w:szCs w:val="20"/>
          <w:highlight w:val="none"/>
        </w:rPr>
      </w:pPr>
      <w:r>
        <w:rPr>
          <w:rFonts w:hint="eastAsia"/>
          <w:b/>
          <w:color w:val="000000"/>
          <w:sz w:val="24"/>
          <w:szCs w:val="20"/>
          <w:highlight w:val="none"/>
        </w:rPr>
        <w:t>预留印鉴</w:t>
      </w:r>
    </w:p>
    <w:p>
      <w:pPr>
        <w:tabs>
          <w:tab w:val="left" w:pos="1455"/>
        </w:tabs>
        <w:spacing w:line="420" w:lineRule="exact"/>
        <w:ind w:left="424" w:leftChars="202" w:right="451" w:rightChars="215"/>
        <w:rPr>
          <w:color w:val="000000"/>
          <w:sz w:val="24"/>
          <w:szCs w:val="20"/>
          <w:highlight w:val="none"/>
        </w:rPr>
      </w:pPr>
      <w:r>
        <w:rPr>
          <w:rFonts w:hint="eastAsia"/>
          <w:color w:val="000000"/>
          <w:sz w:val="24"/>
          <w:szCs w:val="20"/>
          <w:highlight w:val="none"/>
        </w:rPr>
        <w:t>中国民生银行股份有限公司：</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根据《</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hint="eastAsia" w:cs="宋体"/>
          <w:color w:val="000000"/>
          <w:sz w:val="24"/>
          <w:szCs w:val="20"/>
          <w:highlight w:val="none"/>
          <w:u w:val="single"/>
          <w:shd w:val="clear" w:color="FFFFFF" w:fill="D9D9D9"/>
        </w:rPr>
        <w:t>太原市城区农村信用合作联社信盈宝系列</w:t>
      </w:r>
      <w:r>
        <w:rPr>
          <w:rFonts w:hint="eastAsia" w:cs="宋体"/>
          <w:color w:val="000000"/>
          <w:sz w:val="24"/>
          <w:szCs w:val="20"/>
          <w:highlight w:val="none"/>
          <w:u w:val="single"/>
          <w:shd w:val="clear" w:color="FFFFFF" w:fill="D9D9D9"/>
        </w:rPr>
        <w:fldChar w:fldCharType="end"/>
      </w:r>
      <w:r>
        <w:rPr>
          <w:rFonts w:hint="eastAsia"/>
          <w:color w:val="000000"/>
          <w:sz w:val="24"/>
          <w:szCs w:val="20"/>
          <w:highlight w:val="none"/>
        </w:rPr>
        <w:t>理财计划托管协议》，在该协议有效期内，我方在开展托管业务时所提供的划款指令、往来文件及通知（包括资金用途说明文件、对账文件等）等预留印鉴如下，请以此作为相关文件的依据：</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1、划款指令</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预留印鉴：</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r>
        <w:rPr>
          <w:rFonts w:hint="eastAsia"/>
          <w:color w:val="000000"/>
          <w:sz w:val="24"/>
          <w:szCs w:val="20"/>
          <w:highlight w:val="none"/>
        </w:rPr>
        <w:t>公司</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r>
        <w:rPr>
          <w:rFonts w:hint="eastAsia"/>
          <w:color w:val="000000"/>
          <w:sz w:val="24"/>
          <w:szCs w:val="20"/>
          <w:highlight w:val="none"/>
        </w:rPr>
        <w:t>章</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（样章）</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p>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2、往来文件及通知（包括但不限于：资金用途说明文件、对账文件等）</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预留印鉴：</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r>
        <w:rPr>
          <w:rFonts w:hint="eastAsia"/>
          <w:color w:val="000000"/>
          <w:sz w:val="24"/>
          <w:szCs w:val="20"/>
          <w:highlight w:val="none"/>
        </w:rPr>
        <w:t>公司</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r>
        <w:rPr>
          <w:rFonts w:hint="eastAsia"/>
          <w:color w:val="000000"/>
          <w:sz w:val="24"/>
          <w:szCs w:val="20"/>
          <w:highlight w:val="none"/>
        </w:rPr>
        <w:t>章</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（样章）</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p>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jc w:val="right"/>
        <w:rPr>
          <w:color w:val="000000"/>
          <w:sz w:val="24"/>
          <w:szCs w:val="20"/>
          <w:highlight w:val="none"/>
        </w:rPr>
      </w:pPr>
      <w:r>
        <w:rPr>
          <w:color w:val="000000"/>
          <w:sz w:val="24"/>
          <w:szCs w:val="20"/>
          <w:highlight w:val="none"/>
        </w:rPr>
        <w:t xml:space="preserve">                        </w:t>
      </w:r>
    </w:p>
    <w:p>
      <w:pPr>
        <w:tabs>
          <w:tab w:val="left" w:pos="1455"/>
        </w:tabs>
        <w:spacing w:line="420" w:lineRule="exact"/>
        <w:ind w:left="424" w:leftChars="202" w:right="451" w:rightChars="215" w:firstLine="480" w:firstLineChars="200"/>
        <w:rPr>
          <w:rFonts w:hint="eastAsia"/>
          <w:color w:val="000000"/>
          <w:sz w:val="24"/>
          <w:szCs w:val="20"/>
          <w:highlight w:val="none"/>
          <w:u w:val="single"/>
          <w:shd w:val="clear" w:color="FFFFFF" w:fill="D9D9D9"/>
        </w:rPr>
      </w:pPr>
      <w:r>
        <w:rPr>
          <w:rFonts w:hint="eastAsia"/>
          <w:color w:val="000000"/>
          <w:sz w:val="24"/>
          <w:szCs w:val="20"/>
          <w:highlight w:val="none"/>
        </w:rPr>
        <w:t xml:space="preserve">                   管理人（公章）：</w:t>
      </w:r>
      <w:r>
        <w:rPr>
          <w:rFonts w:hint="eastAsia"/>
          <w:color w:val="000000"/>
          <w:sz w:val="24"/>
          <w:szCs w:val="20"/>
          <w:highlight w:val="none"/>
          <w:u w:val="single"/>
          <w:shd w:val="clear" w:color="FFFFFF" w:fill="D9D9D9"/>
        </w:rPr>
        <w:fldChar w:fldCharType="begin">
          <w:ffData>
            <w:enabled/>
            <w:calcOnExit w:val="0"/>
            <w:textInput/>
          </w:ffData>
        </w:fldChar>
      </w:r>
      <w:r>
        <w:rPr>
          <w:rFonts w:hint="eastAsia"/>
          <w:color w:val="000000"/>
          <w:sz w:val="24"/>
          <w:szCs w:val="20"/>
          <w:highlight w:val="none"/>
          <w:u w:val="single"/>
          <w:shd w:val="clear" w:color="FFFFFF" w:fill="D9D9D9"/>
        </w:rPr>
        <w:instrText xml:space="preserve">FORMTEXT</w:instrText>
      </w:r>
      <w:r>
        <w:rPr>
          <w:rFonts w:hint="eastAsia"/>
          <w:color w:val="000000"/>
          <w:sz w:val="24"/>
          <w:szCs w:val="20"/>
          <w:highlight w:val="none"/>
          <w:u w:val="single"/>
          <w:shd w:val="clear" w:color="FFFFFF" w:fill="D9D9D9"/>
        </w:rPr>
        <w:fldChar w:fldCharType="separate"/>
      </w:r>
      <w:r>
        <w:rPr>
          <w:rFonts w:hint="eastAsia"/>
          <w:color w:val="000000"/>
          <w:sz w:val="24"/>
          <w:szCs w:val="20"/>
          <w:highlight w:val="none"/>
          <w:u w:val="single"/>
          <w:shd w:val="clear" w:color="FFFFFF" w:fill="D9D9D9"/>
        </w:rPr>
        <w:t>     </w:t>
      </w:r>
      <w:r>
        <w:rPr>
          <w:rFonts w:hint="eastAsia"/>
          <w:color w:val="000000"/>
          <w:sz w:val="24"/>
          <w:szCs w:val="20"/>
          <w:highlight w:val="none"/>
          <w:u w:val="single"/>
          <w:shd w:val="clear" w:color="FFFFFF" w:fill="D9D9D9"/>
        </w:rPr>
        <w:fldChar w:fldCharType="end"/>
      </w:r>
    </w:p>
    <w:p>
      <w:pPr>
        <w:tabs>
          <w:tab w:val="left" w:pos="1455"/>
        </w:tabs>
        <w:spacing w:line="420" w:lineRule="exact"/>
        <w:ind w:left="424" w:leftChars="202" w:right="451" w:rightChars="215" w:firstLine="480" w:firstLineChars="200"/>
        <w:rPr>
          <w:rFonts w:hint="eastAsia"/>
          <w:color w:val="000000"/>
          <w:sz w:val="24"/>
          <w:szCs w:val="20"/>
          <w:highlight w:val="none"/>
        </w:rPr>
      </w:pPr>
    </w:p>
    <w:p>
      <w:pPr>
        <w:tabs>
          <w:tab w:val="left" w:pos="1455"/>
        </w:tabs>
        <w:spacing w:line="420" w:lineRule="exact"/>
        <w:ind w:left="424" w:leftChars="202" w:right="451" w:rightChars="215" w:firstLine="480" w:firstLineChars="200"/>
        <w:jc w:val="right"/>
        <w:rPr>
          <w:rFonts w:hint="eastAsia"/>
          <w:color w:val="000000"/>
          <w:sz w:val="24"/>
          <w:szCs w:val="20"/>
          <w:highlight w:val="none"/>
          <w:u w:val="single"/>
          <w:shd w:val="clear" w:color="FFFFFF" w:fill="D9D9D9"/>
        </w:rPr>
      </w:pPr>
      <w:r>
        <w:rPr>
          <w:rFonts w:hint="eastAsia"/>
          <w:color w:val="000000"/>
          <w:kern w:val="0"/>
          <w:sz w:val="24"/>
          <w:szCs w:val="20"/>
          <w:highlight w:val="none"/>
        </w:rPr>
        <w:t>法定代表人（或授权代表）（签字</w:t>
      </w:r>
      <w:r>
        <w:rPr>
          <w:rFonts w:hint="eastAsia" w:cs="宋体"/>
          <w:color w:val="000000"/>
          <w:sz w:val="24"/>
          <w:szCs w:val="20"/>
          <w:highlight w:val="none"/>
        </w:rPr>
        <w:t>/</w:t>
      </w:r>
      <w:r>
        <w:rPr>
          <w:rFonts w:hint="eastAsia" w:cs="宋体"/>
          <w:color w:val="000000"/>
          <w:sz w:val="24"/>
          <w:szCs w:val="20"/>
          <w:highlight w:val="none"/>
          <w:lang w:eastAsia="zh-CN"/>
        </w:rPr>
        <w:t>盖</w:t>
      </w:r>
      <w:r>
        <w:rPr>
          <w:rFonts w:hint="eastAsia" w:cs="宋体"/>
          <w:color w:val="000000"/>
          <w:sz w:val="24"/>
          <w:szCs w:val="20"/>
          <w:highlight w:val="none"/>
        </w:rPr>
        <w:t>章</w:t>
      </w:r>
      <w:r>
        <w:rPr>
          <w:rFonts w:hint="eastAsia"/>
          <w:color w:val="000000"/>
          <w:kern w:val="0"/>
          <w:sz w:val="24"/>
          <w:szCs w:val="20"/>
          <w:highlight w:val="none"/>
        </w:rPr>
        <w:t>）：</w:t>
      </w:r>
      <w:r>
        <w:rPr>
          <w:rFonts w:hint="eastAsia"/>
          <w:color w:val="000000"/>
          <w:sz w:val="24"/>
          <w:szCs w:val="20"/>
          <w:highlight w:val="none"/>
          <w:u w:val="single"/>
          <w:shd w:val="clear" w:color="FFFFFF" w:fill="D9D9D9"/>
        </w:rPr>
        <w:fldChar w:fldCharType="begin">
          <w:ffData>
            <w:enabled/>
            <w:calcOnExit w:val="0"/>
            <w:textInput/>
          </w:ffData>
        </w:fldChar>
      </w:r>
      <w:r>
        <w:rPr>
          <w:rFonts w:hint="eastAsia"/>
          <w:color w:val="000000"/>
          <w:sz w:val="24"/>
          <w:szCs w:val="20"/>
          <w:highlight w:val="none"/>
          <w:u w:val="single"/>
          <w:shd w:val="clear" w:color="FFFFFF" w:fill="D9D9D9"/>
        </w:rPr>
        <w:instrText xml:space="preserve">FORMTEXT</w:instrText>
      </w:r>
      <w:r>
        <w:rPr>
          <w:rFonts w:hint="eastAsia"/>
          <w:color w:val="000000"/>
          <w:sz w:val="24"/>
          <w:szCs w:val="20"/>
          <w:highlight w:val="none"/>
          <w:u w:val="single"/>
          <w:shd w:val="clear" w:color="FFFFFF" w:fill="D9D9D9"/>
        </w:rPr>
        <w:fldChar w:fldCharType="separate"/>
      </w:r>
      <w:r>
        <w:rPr>
          <w:rFonts w:hint="eastAsia"/>
          <w:color w:val="000000"/>
          <w:sz w:val="24"/>
          <w:szCs w:val="20"/>
          <w:highlight w:val="none"/>
          <w:u w:val="single"/>
          <w:shd w:val="clear" w:color="FFFFFF" w:fill="D9D9D9"/>
        </w:rPr>
        <w:t>     </w:t>
      </w:r>
      <w:r>
        <w:rPr>
          <w:rFonts w:hint="eastAsia"/>
          <w:color w:val="000000"/>
          <w:sz w:val="24"/>
          <w:szCs w:val="20"/>
          <w:highlight w:val="none"/>
          <w:u w:val="single"/>
          <w:shd w:val="clear" w:color="FFFFFF" w:fill="D9D9D9"/>
        </w:rPr>
        <w:fldChar w:fldCharType="end"/>
      </w:r>
    </w:p>
    <w:p>
      <w:pPr>
        <w:tabs>
          <w:tab w:val="left" w:pos="1455"/>
        </w:tabs>
        <w:spacing w:line="420" w:lineRule="exact"/>
        <w:ind w:left="424" w:leftChars="202" w:right="451" w:rightChars="215" w:firstLine="480" w:firstLineChars="200"/>
        <w:jc w:val="right"/>
        <w:rPr>
          <w:rFonts w:hint="eastAsia"/>
          <w:color w:val="000000"/>
          <w:sz w:val="24"/>
          <w:szCs w:val="20"/>
          <w:highlight w:val="none"/>
        </w:rPr>
      </w:pPr>
    </w:p>
    <w:p>
      <w:pPr>
        <w:tabs>
          <w:tab w:val="left" w:pos="1455"/>
        </w:tabs>
        <w:spacing w:line="420" w:lineRule="exact"/>
        <w:ind w:left="424" w:leftChars="202" w:right="451" w:rightChars="215" w:firstLine="480" w:firstLineChars="200"/>
        <w:jc w:val="center"/>
        <w:rPr>
          <w:color w:val="000000"/>
          <w:sz w:val="24"/>
          <w:szCs w:val="20"/>
          <w:highlight w:val="none"/>
        </w:rPr>
      </w:pPr>
      <w:r>
        <w:rPr>
          <w:rFonts w:hint="eastAsia"/>
          <w:color w:val="000000"/>
          <w:sz w:val="24"/>
          <w:szCs w:val="20"/>
          <w:highlight w:val="none"/>
        </w:rPr>
        <w:t xml:space="preserve">                  【</w:t>
      </w:r>
      <w:r>
        <w:rPr>
          <w:rFonts w:hint="eastAsia"/>
          <w:color w:val="000000"/>
          <w:sz w:val="24"/>
          <w:szCs w:val="20"/>
          <w:highlight w:val="none"/>
          <w:shd w:val="clear" w:color="FFFFFF" w:fill="D9D9D9"/>
        </w:rPr>
        <w:fldChar w:fldCharType="begin">
          <w:ffData>
            <w:enabled/>
            <w:calcOnExit w:val="0"/>
            <w:textInput/>
          </w:ffData>
        </w:fldChar>
      </w:r>
      <w:r>
        <w:rPr>
          <w:rFonts w:hint="eastAsia"/>
          <w:color w:val="000000"/>
          <w:sz w:val="24"/>
          <w:szCs w:val="20"/>
          <w:highlight w:val="none"/>
          <w:shd w:val="clear" w:color="FFFFFF" w:fill="D9D9D9"/>
        </w:rPr>
        <w:instrText xml:space="preserve">FORMTEXT</w:instrText>
      </w:r>
      <w:r>
        <w:rPr>
          <w:rFonts w:hint="eastAsia"/>
          <w:color w:val="000000"/>
          <w:sz w:val="24"/>
          <w:szCs w:val="20"/>
          <w:highlight w:val="none"/>
          <w:shd w:val="clear" w:color="FFFFFF" w:fill="D9D9D9"/>
        </w:rPr>
        <w:fldChar w:fldCharType="separate"/>
      </w:r>
      <w:r>
        <w:rPr>
          <w:rFonts w:hint="eastAsia"/>
          <w:color w:val="000000"/>
          <w:sz w:val="24"/>
          <w:szCs w:val="20"/>
          <w:highlight w:val="none"/>
          <w:shd w:val="clear" w:color="FFFFFF" w:fill="D9D9D9"/>
        </w:rPr>
        <w:t>     </w:t>
      </w:r>
      <w:r>
        <w:rPr>
          <w:rFonts w:hint="eastAsia"/>
          <w:color w:val="000000"/>
          <w:sz w:val="24"/>
          <w:szCs w:val="20"/>
          <w:highlight w:val="none"/>
          <w:shd w:val="clear" w:color="FFFFFF" w:fill="D9D9D9"/>
        </w:rPr>
        <w:fldChar w:fldCharType="end"/>
      </w:r>
      <w:r>
        <w:rPr>
          <w:rFonts w:hint="eastAsia"/>
          <w:color w:val="000000"/>
          <w:sz w:val="24"/>
          <w:szCs w:val="20"/>
          <w:highlight w:val="none"/>
        </w:rPr>
        <w:t>】年【</w:t>
      </w:r>
      <w:r>
        <w:rPr>
          <w:rFonts w:hint="eastAsia"/>
          <w:color w:val="000000"/>
          <w:sz w:val="24"/>
          <w:szCs w:val="20"/>
          <w:highlight w:val="none"/>
          <w:shd w:val="clear" w:color="FFFFFF" w:fill="D9D9D9"/>
        </w:rPr>
        <w:fldChar w:fldCharType="begin">
          <w:ffData>
            <w:enabled/>
            <w:calcOnExit w:val="0"/>
            <w:textInput/>
          </w:ffData>
        </w:fldChar>
      </w:r>
      <w:r>
        <w:rPr>
          <w:rFonts w:hint="eastAsia"/>
          <w:color w:val="000000"/>
          <w:sz w:val="24"/>
          <w:szCs w:val="20"/>
          <w:highlight w:val="none"/>
          <w:shd w:val="clear" w:color="FFFFFF" w:fill="D9D9D9"/>
        </w:rPr>
        <w:instrText xml:space="preserve">FORMTEXT</w:instrText>
      </w:r>
      <w:r>
        <w:rPr>
          <w:rFonts w:hint="eastAsia"/>
          <w:color w:val="000000"/>
          <w:sz w:val="24"/>
          <w:szCs w:val="20"/>
          <w:highlight w:val="none"/>
          <w:shd w:val="clear" w:color="FFFFFF" w:fill="D9D9D9"/>
        </w:rPr>
        <w:fldChar w:fldCharType="separate"/>
      </w:r>
      <w:r>
        <w:rPr>
          <w:rFonts w:hint="eastAsia"/>
          <w:color w:val="000000"/>
          <w:sz w:val="24"/>
          <w:szCs w:val="20"/>
          <w:highlight w:val="none"/>
          <w:shd w:val="clear" w:color="FFFFFF" w:fill="D9D9D9"/>
        </w:rPr>
        <w:t>     </w:t>
      </w:r>
      <w:r>
        <w:rPr>
          <w:rFonts w:hint="eastAsia"/>
          <w:color w:val="000000"/>
          <w:sz w:val="24"/>
          <w:szCs w:val="20"/>
          <w:highlight w:val="none"/>
          <w:shd w:val="clear" w:color="FFFFFF" w:fill="D9D9D9"/>
        </w:rPr>
        <w:fldChar w:fldCharType="end"/>
      </w:r>
      <w:r>
        <w:rPr>
          <w:rFonts w:hint="eastAsia"/>
          <w:color w:val="000000"/>
          <w:sz w:val="24"/>
          <w:szCs w:val="20"/>
          <w:highlight w:val="none"/>
        </w:rPr>
        <w:t>】月【</w:t>
      </w:r>
      <w:r>
        <w:rPr>
          <w:rFonts w:hint="eastAsia"/>
          <w:color w:val="000000"/>
          <w:sz w:val="24"/>
          <w:szCs w:val="20"/>
          <w:highlight w:val="none"/>
          <w:shd w:val="clear" w:color="FFFFFF" w:fill="D9D9D9"/>
        </w:rPr>
        <w:fldChar w:fldCharType="begin">
          <w:ffData>
            <w:enabled/>
            <w:calcOnExit w:val="0"/>
            <w:textInput/>
          </w:ffData>
        </w:fldChar>
      </w:r>
      <w:r>
        <w:rPr>
          <w:rFonts w:hint="eastAsia"/>
          <w:color w:val="000000"/>
          <w:sz w:val="24"/>
          <w:szCs w:val="20"/>
          <w:highlight w:val="none"/>
          <w:shd w:val="clear" w:color="FFFFFF" w:fill="D9D9D9"/>
        </w:rPr>
        <w:instrText xml:space="preserve">FORMTEXT</w:instrText>
      </w:r>
      <w:r>
        <w:rPr>
          <w:rFonts w:hint="eastAsia"/>
          <w:color w:val="000000"/>
          <w:sz w:val="24"/>
          <w:szCs w:val="20"/>
          <w:highlight w:val="none"/>
          <w:shd w:val="clear" w:color="FFFFFF" w:fill="D9D9D9"/>
        </w:rPr>
        <w:fldChar w:fldCharType="separate"/>
      </w:r>
      <w:r>
        <w:rPr>
          <w:rFonts w:hint="eastAsia"/>
          <w:color w:val="000000"/>
          <w:sz w:val="24"/>
          <w:szCs w:val="20"/>
          <w:highlight w:val="none"/>
          <w:shd w:val="clear" w:color="FFFFFF" w:fill="D9D9D9"/>
        </w:rPr>
        <w:t>     </w:t>
      </w:r>
      <w:r>
        <w:rPr>
          <w:rFonts w:hint="eastAsia"/>
          <w:color w:val="000000"/>
          <w:sz w:val="24"/>
          <w:szCs w:val="20"/>
          <w:highlight w:val="none"/>
          <w:shd w:val="clear" w:color="FFFFFF" w:fill="D9D9D9"/>
        </w:rPr>
        <w:fldChar w:fldCharType="end"/>
      </w:r>
      <w:r>
        <w:rPr>
          <w:rFonts w:hint="eastAsia"/>
          <w:color w:val="000000"/>
          <w:sz w:val="24"/>
          <w:szCs w:val="20"/>
          <w:highlight w:val="none"/>
        </w:rPr>
        <w:t>】日</w:t>
      </w:r>
    </w:p>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sectPr>
          <w:pgSz w:w="11849" w:h="16781"/>
          <w:pgMar w:top="964" w:right="1501" w:bottom="964" w:left="964" w:header="850" w:footer="992" w:gutter="0"/>
          <w:pgNumType w:fmt="decimal"/>
          <w:cols w:space="720" w:num="1"/>
          <w:formProt w:val="1"/>
          <w:docGrid w:type="lines" w:linePitch="312" w:charSpace="0"/>
        </w:sectPr>
      </w:pPr>
    </w:p>
    <w:p>
      <w:pPr>
        <w:pStyle w:val="2"/>
        <w:snapToGrid w:val="0"/>
        <w:spacing w:before="0" w:beforeLines="0" w:after="0" w:afterLines="0" w:line="420" w:lineRule="exact"/>
        <w:ind w:left="424" w:leftChars="202" w:right="451" w:rightChars="215"/>
        <w:rPr>
          <w:sz w:val="24"/>
          <w:highlight w:val="none"/>
        </w:rPr>
      </w:pPr>
      <w:bookmarkStart w:id="56" w:name="_Toc374534748"/>
      <w:bookmarkStart w:id="57" w:name="_Toc437"/>
      <w:bookmarkStart w:id="58" w:name="_Toc382240678"/>
      <w:r>
        <w:rPr>
          <w:rFonts w:hint="eastAsia"/>
          <w:sz w:val="24"/>
          <w:highlight w:val="none"/>
        </w:rPr>
        <w:t>附件五：《监督事项表》</w:t>
      </w:r>
      <w:bookmarkEnd w:id="56"/>
      <w:bookmarkEnd w:id="57"/>
      <w:bookmarkEnd w:id="58"/>
    </w:p>
    <w:p>
      <w:pPr>
        <w:spacing w:line="420" w:lineRule="exact"/>
        <w:ind w:left="424" w:leftChars="202" w:right="451" w:rightChars="215" w:firstLine="424" w:firstLineChars="177"/>
        <w:jc w:val="center"/>
        <w:rPr>
          <w:sz w:val="24"/>
          <w:highlight w:val="none"/>
        </w:rPr>
      </w:pPr>
    </w:p>
    <w:p>
      <w:pPr>
        <w:tabs>
          <w:tab w:val="left" w:pos="1455"/>
        </w:tabs>
        <w:spacing w:line="420" w:lineRule="exact"/>
        <w:ind w:left="424" w:leftChars="202" w:right="451" w:rightChars="215" w:firstLine="426"/>
        <w:jc w:val="center"/>
        <w:rPr>
          <w:b/>
          <w:color w:val="000000"/>
          <w:sz w:val="24"/>
          <w:szCs w:val="20"/>
          <w:highlight w:val="none"/>
        </w:rPr>
      </w:pPr>
      <w:r>
        <w:rPr>
          <w:rFonts w:hint="eastAsia"/>
          <w:b/>
          <w:color w:val="000000"/>
          <w:sz w:val="24"/>
          <w:szCs w:val="20"/>
          <w:highlight w:val="none"/>
        </w:rPr>
        <w:t>监督事项表</w:t>
      </w:r>
    </w:p>
    <w:tbl>
      <w:tblPr>
        <w:tblStyle w:val="1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410"/>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42"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58" w:leftChars="-28" w:right="0" w:firstLine="59"/>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rPr>
              <w:t>序号</w:t>
            </w:r>
          </w:p>
        </w:tc>
        <w:tc>
          <w:tcPr>
            <w:tcW w:w="241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424" w:leftChars="202" w:right="451" w:rightChars="215" w:firstLine="33" w:firstLineChars="14"/>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rPr>
              <w:t>监督项目</w:t>
            </w:r>
          </w:p>
        </w:tc>
        <w:tc>
          <w:tcPr>
            <w:tcW w:w="538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424" w:leftChars="202" w:right="451" w:rightChars="215" w:firstLine="480"/>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rPr>
              <w:t>监督内容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5" w:hRule="atLeast"/>
        </w:trPr>
        <w:tc>
          <w:tcPr>
            <w:tcW w:w="1242"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707" w:leftChars="-337" w:right="451" w:rightChars="215" w:firstLine="880" w:firstLineChars="367"/>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rPr>
              <w:t>一</w:t>
            </w:r>
          </w:p>
        </w:tc>
        <w:tc>
          <w:tcPr>
            <w:tcW w:w="241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33" w:leftChars="16" w:right="451" w:rightChars="215"/>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rPr>
              <w:t>资金运用文件</w:t>
            </w:r>
          </w:p>
        </w:tc>
        <w:tc>
          <w:tcPr>
            <w:tcW w:w="538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Lines="0" w:beforeAutospacing="0" w:after="0" w:afterLines="0" w:afterAutospacing="0" w:line="420" w:lineRule="exact"/>
              <w:ind w:left="0" w:leftChars="0" w:right="451" w:rightChars="215" w:firstLine="480" w:firstLineChars="200"/>
              <w:rPr>
                <w:rFonts w:ascii="Calibri" w:hAnsi="Calibri" w:eastAsia="宋体" w:cs="Times New Roman"/>
                <w:i/>
                <w:iCs/>
                <w:color w:val="000000"/>
                <w:sz w:val="24"/>
                <w:szCs w:val="20"/>
                <w:highlight w:val="none"/>
              </w:rPr>
            </w:pPr>
            <w:r>
              <w:rPr>
                <w:rFonts w:hint="eastAsia" w:ascii="Calibri" w:hAnsi="Calibri" w:eastAsia="宋体" w:cs="宋体"/>
                <w:color w:val="000000"/>
                <w:sz w:val="24"/>
                <w:szCs w:val="20"/>
                <w:highlight w:val="none"/>
                <w:lang w:eastAsia="zh-CN"/>
              </w:rPr>
              <w:t>按协议约定和监管规定投资运作。</w:t>
            </w:r>
            <w:r>
              <w:rPr>
                <w:rFonts w:hint="eastAsia" w:ascii="Calibri" w:hAnsi="Calibri" w:eastAsia="宋体" w:cs="宋体"/>
                <w:color w:val="000000"/>
                <w:sz w:val="24"/>
                <w:szCs w:val="20"/>
                <w:highlight w:val="none"/>
              </w:rPr>
              <w:t xml:space="preserve">在甲方向乙方发出投资划款指令之前，应向乙方提供与该项投资相关的各项法律文件和资料，包括但不限于理财产品资金运用说明书及与本理财产品投资有关的合同、协议，所有文本需为正本或经与原件核对一致并加盖甲方指定部门公章的复印件； </w:t>
            </w:r>
            <w:r>
              <w:rPr>
                <w:rFonts w:ascii="Calibri" w:hAnsi="Calibri" w:eastAsia="宋体" w:cs="Times New Roman"/>
                <w:i/>
                <w:iCs/>
                <w:color w:val="000000"/>
                <w:sz w:val="24"/>
                <w:szCs w:val="2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7" w:hRule="atLeast"/>
        </w:trPr>
        <w:tc>
          <w:tcPr>
            <w:tcW w:w="1242"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0" w:right="451" w:rightChars="215" w:firstLine="120" w:firstLineChars="50"/>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rPr>
              <w:t>二</w:t>
            </w:r>
          </w:p>
        </w:tc>
        <w:tc>
          <w:tcPr>
            <w:tcW w:w="241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33" w:leftChars="16" w:right="451" w:rightChars="215"/>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rPr>
              <w:t>签名及印鉴</w:t>
            </w:r>
          </w:p>
        </w:tc>
        <w:tc>
          <w:tcPr>
            <w:tcW w:w="538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Lines="0" w:beforeAutospacing="0" w:after="0" w:afterLines="0" w:afterAutospacing="0" w:line="420" w:lineRule="exact"/>
              <w:ind w:left="0" w:leftChars="0" w:right="451" w:rightChars="215" w:firstLine="480" w:firstLineChars="200"/>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rPr>
              <w:t>乙方仅对甲方提交的划款指令进行形式审查，审查相关签名及印鉴是否与预留印鉴相符，乙方不负责审查甲方同时提交的其他文件资料。甲方应保证其同时提交的其他文件资料合法、真实、完整和有效。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42"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0" w:right="451" w:rightChars="215" w:firstLine="120" w:firstLineChars="50"/>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rPr>
              <w:t>三</w:t>
            </w:r>
          </w:p>
        </w:tc>
        <w:tc>
          <w:tcPr>
            <w:tcW w:w="241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33" w:leftChars="16" w:right="451" w:rightChars="215"/>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rPr>
              <w:t>其他</w:t>
            </w:r>
          </w:p>
        </w:tc>
        <w:tc>
          <w:tcPr>
            <w:tcW w:w="538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424" w:leftChars="202" w:right="451" w:rightChars="215" w:firstLine="480" w:firstLineChars="200"/>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u w:val="singl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u w:val="single"/>
                <w:shd w:val="clear" w:color="FFFFFF" w:fill="D9D9D9"/>
              </w:rPr>
              <w:instrText xml:space="preserve">FORMTEXT</w:instrText>
            </w:r>
            <w:r>
              <w:rPr>
                <w:rFonts w:hint="eastAsia" w:ascii="Calibri" w:hAnsi="Calibri" w:eastAsia="宋体" w:cs="宋体"/>
                <w:color w:val="000000"/>
                <w:sz w:val="24"/>
                <w:szCs w:val="20"/>
                <w:highlight w:val="none"/>
                <w:u w:val="single"/>
                <w:shd w:val="clear" w:color="FFFFFF" w:fill="D9D9D9"/>
              </w:rPr>
              <w:fldChar w:fldCharType="separate"/>
            </w:r>
            <w:r>
              <w:rPr>
                <w:rFonts w:ascii="Calibri" w:hAnsi="Calibri" w:eastAsia="宋体" w:cs="宋体"/>
                <w:color w:val="000000"/>
                <w:sz w:val="24"/>
                <w:szCs w:val="20"/>
                <w:highlight w:val="none"/>
                <w:u w:val="single"/>
                <w:shd w:val="clear" w:color="FFFFFF" w:fill="D9D9D9"/>
              </w:rPr>
              <w:t>     </w:t>
            </w:r>
            <w:r>
              <w:rPr>
                <w:rFonts w:hint="eastAsia" w:ascii="Calibri" w:hAnsi="Calibri" w:eastAsia="宋体" w:cs="宋体"/>
                <w:color w:val="000000"/>
                <w:sz w:val="24"/>
                <w:szCs w:val="20"/>
                <w:highlight w:val="none"/>
                <w:u w:val="single"/>
                <w:shd w:val="clear" w:color="FFFFFF" w:fill="D9D9D9"/>
              </w:rPr>
              <w:fldChar w:fldCharType="end"/>
            </w:r>
          </w:p>
          <w:p>
            <w:pPr>
              <w:keepNext w:val="0"/>
              <w:keepLines w:val="0"/>
              <w:suppressLineNumbers w:val="0"/>
              <w:tabs>
                <w:tab w:val="left" w:pos="1455"/>
              </w:tabs>
              <w:spacing w:before="0" w:beforeAutospacing="0" w:after="0" w:afterAutospacing="0" w:line="420" w:lineRule="exact"/>
              <w:ind w:left="424" w:leftChars="202" w:right="451" w:rightChars="215" w:firstLine="480" w:firstLineChars="200"/>
              <w:rPr>
                <w:rFonts w:ascii="Calibri" w:hAnsi="Calibri" w:eastAsia="宋体" w:cs="Times New Roman"/>
                <w:color w:val="000000"/>
                <w:sz w:val="24"/>
                <w:szCs w:val="20"/>
                <w:highlight w:val="none"/>
              </w:rPr>
            </w:pPr>
          </w:p>
          <w:p>
            <w:pPr>
              <w:keepNext w:val="0"/>
              <w:keepLines w:val="0"/>
              <w:suppressLineNumbers w:val="0"/>
              <w:tabs>
                <w:tab w:val="left" w:pos="1455"/>
              </w:tabs>
              <w:spacing w:before="0" w:beforeAutospacing="0" w:after="0" w:afterAutospacing="0" w:line="420" w:lineRule="exact"/>
              <w:ind w:left="424" w:leftChars="202" w:right="451" w:rightChars="215" w:firstLine="480" w:firstLineChars="200"/>
              <w:rPr>
                <w:rFonts w:ascii="Calibri" w:hAnsi="Calibri" w:eastAsia="宋体" w:cs="Times New Roman"/>
                <w:color w:val="000000"/>
                <w:sz w:val="24"/>
                <w:szCs w:val="20"/>
                <w:highlight w:val="none"/>
              </w:rPr>
            </w:pPr>
          </w:p>
          <w:p>
            <w:pPr>
              <w:keepNext w:val="0"/>
              <w:keepLines w:val="0"/>
              <w:suppressLineNumbers w:val="0"/>
              <w:tabs>
                <w:tab w:val="left" w:pos="1455"/>
              </w:tabs>
              <w:spacing w:before="0" w:beforeAutospacing="0" w:after="0" w:afterAutospacing="0" w:line="420" w:lineRule="exact"/>
              <w:ind w:left="424" w:leftChars="202" w:right="451" w:rightChars="215" w:firstLine="480" w:firstLineChars="200"/>
              <w:rPr>
                <w:rFonts w:ascii="Calibri" w:hAnsi="Calibri" w:eastAsia="宋体" w:cs="Times New Roman"/>
                <w:color w:val="000000"/>
                <w:sz w:val="24"/>
                <w:szCs w:val="20"/>
                <w:highlight w:val="none"/>
              </w:rPr>
            </w:pPr>
          </w:p>
          <w:p>
            <w:pPr>
              <w:keepNext w:val="0"/>
              <w:keepLines w:val="0"/>
              <w:suppressLineNumbers w:val="0"/>
              <w:tabs>
                <w:tab w:val="left" w:pos="1455"/>
              </w:tabs>
              <w:spacing w:before="0" w:beforeAutospacing="0" w:after="0" w:afterAutospacing="0" w:line="420" w:lineRule="exact"/>
              <w:ind w:left="424" w:leftChars="202" w:right="451" w:rightChars="215" w:firstLine="480" w:firstLineChars="200"/>
              <w:rPr>
                <w:rFonts w:ascii="Calibri" w:hAnsi="Calibri" w:eastAsia="宋体" w:cs="Times New Roman"/>
                <w:color w:val="000000"/>
                <w:sz w:val="24"/>
                <w:szCs w:val="20"/>
                <w:highlight w:val="none"/>
              </w:rPr>
            </w:pPr>
          </w:p>
        </w:tc>
      </w:tr>
    </w:tbl>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pPr>
    </w:p>
    <w:p>
      <w:pPr>
        <w:widowControl/>
        <w:ind w:left="424" w:leftChars="202" w:right="451" w:rightChars="215"/>
        <w:jc w:val="left"/>
        <w:rPr>
          <w:highlight w:val="none"/>
        </w:rPr>
        <w:sectPr>
          <w:pgSz w:w="11849" w:h="16781"/>
          <w:pgMar w:top="964" w:right="1501" w:bottom="964" w:left="964" w:header="850" w:footer="992" w:gutter="0"/>
          <w:pgNumType w:fmt="decimal"/>
          <w:cols w:space="720" w:num="1"/>
          <w:formProt w:val="1"/>
          <w:docGrid w:type="linesAndChars" w:linePitch="312" w:charSpace="0"/>
        </w:sectPr>
      </w:pPr>
    </w:p>
    <w:p>
      <w:pPr>
        <w:pStyle w:val="2"/>
        <w:snapToGrid w:val="0"/>
        <w:spacing w:before="0" w:beforeLines="0" w:after="0" w:afterLines="0" w:line="420" w:lineRule="exact"/>
        <w:ind w:left="424" w:leftChars="202" w:right="451" w:rightChars="215"/>
        <w:rPr>
          <w:sz w:val="24"/>
          <w:highlight w:val="none"/>
        </w:rPr>
      </w:pPr>
      <w:bookmarkStart w:id="59" w:name="_Toc382240679"/>
      <w:bookmarkStart w:id="60" w:name="_Toc29035"/>
      <w:r>
        <w:rPr>
          <w:rFonts w:hint="eastAsia"/>
          <w:sz w:val="24"/>
          <w:highlight w:val="none"/>
        </w:rPr>
        <w:t>附件六</w:t>
      </w:r>
      <w:bookmarkEnd w:id="59"/>
      <w:r>
        <w:rPr>
          <w:rFonts w:hint="eastAsia"/>
          <w:sz w:val="24"/>
          <w:highlight w:val="none"/>
        </w:rPr>
        <w:t>：《托管报告》（格式）</w:t>
      </w:r>
      <w:bookmarkEnd w:id="60"/>
    </w:p>
    <w:p>
      <w:pPr>
        <w:tabs>
          <w:tab w:val="left" w:pos="1455"/>
        </w:tabs>
        <w:spacing w:line="420" w:lineRule="exact"/>
        <w:ind w:left="424" w:leftChars="202" w:right="451" w:rightChars="215" w:firstLine="560" w:firstLineChars="200"/>
        <w:jc w:val="center"/>
        <w:rPr>
          <w:b/>
          <w:bCs/>
          <w:color w:val="000000"/>
          <w:spacing w:val="20"/>
          <w:sz w:val="24"/>
          <w:szCs w:val="20"/>
          <w:highlight w:val="none"/>
        </w:rPr>
      </w:pPr>
      <w:r>
        <w:rPr>
          <w:rFonts w:hint="eastAsia" w:cs="宋体"/>
          <w:b/>
          <w:bCs/>
          <w:color w:val="000000"/>
          <w:spacing w:val="20"/>
          <w:sz w:val="24"/>
          <w:szCs w:val="20"/>
          <w:highlight w:val="none"/>
        </w:rPr>
        <w:t>理财计划托管报告</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s="宋体"/>
          <w:color w:val="000000"/>
          <w:sz w:val="24"/>
          <w:szCs w:val="20"/>
          <w:highlight w:val="none"/>
        </w:rPr>
        <w:t>理财产品名称：</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r>
        <w:rPr>
          <w:rFonts w:hint="eastAsia" w:cs="宋体"/>
          <w:color w:val="000000"/>
          <w:sz w:val="24"/>
          <w:szCs w:val="20"/>
          <w:highlight w:val="none"/>
        </w:rPr>
        <w:t xml:space="preserve"> </w:t>
      </w:r>
    </w:p>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pPr>
      <w:r>
        <w:rPr>
          <w:rFonts w:hint="eastAsia" w:cs="宋体"/>
          <w:color w:val="000000"/>
          <w:sz w:val="24"/>
          <w:szCs w:val="20"/>
          <w:highlight w:val="none"/>
        </w:rPr>
        <w:t>报告期间：</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p>
    <w:p>
      <w:pPr>
        <w:tabs>
          <w:tab w:val="left" w:pos="1455"/>
        </w:tabs>
        <w:spacing w:line="420" w:lineRule="exact"/>
        <w:ind w:left="424" w:leftChars="202" w:right="451" w:rightChars="215" w:firstLine="480" w:firstLineChars="200"/>
        <w:rPr>
          <w:color w:val="000000"/>
          <w:sz w:val="24"/>
          <w:szCs w:val="20"/>
          <w:highlight w:val="none"/>
        </w:rPr>
      </w:pPr>
      <w:r>
        <w:rPr>
          <w:rFonts w:hint="eastAsia" w:cs="宋体"/>
          <w:color w:val="000000"/>
          <w:sz w:val="24"/>
          <w:szCs w:val="20"/>
          <w:highlight w:val="none"/>
        </w:rPr>
        <w:t>填报日期：</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r>
        <w:rPr>
          <w:rFonts w:hint="eastAsia" w:cs="宋体"/>
          <w:color w:val="000000"/>
          <w:sz w:val="24"/>
          <w:szCs w:val="20"/>
          <w:highlight w:val="none"/>
        </w:rPr>
        <w:t xml:space="preserve"> </w:t>
      </w:r>
    </w:p>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rPr>
          <w:rFonts w:hint="eastAsia" w:cs="宋体"/>
          <w:color w:val="000000"/>
          <w:sz w:val="24"/>
          <w:szCs w:val="20"/>
          <w:highlight w:val="none"/>
        </w:rPr>
      </w:pPr>
      <w:r>
        <w:rPr>
          <w:rFonts w:hint="eastAsia" w:cs="宋体"/>
          <w:color w:val="000000"/>
          <w:sz w:val="24"/>
          <w:szCs w:val="20"/>
          <w:highlight w:val="none"/>
        </w:rPr>
        <w:t>根据</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hint="eastAsia" w:cs="宋体"/>
          <w:color w:val="000000"/>
          <w:sz w:val="24"/>
          <w:szCs w:val="20"/>
          <w:highlight w:val="none"/>
          <w:u w:val="single"/>
          <w:shd w:val="clear" w:color="FFFFFF" w:fill="D9D9D9"/>
        </w:rPr>
        <w:t> 太原市城区农村信用合作联社</w:t>
      </w:r>
      <w:r>
        <w:rPr>
          <w:rFonts w:hint="eastAsia" w:cs="宋体"/>
          <w:color w:val="000000"/>
          <w:sz w:val="24"/>
          <w:szCs w:val="20"/>
          <w:highlight w:val="none"/>
          <w:u w:val="single"/>
          <w:shd w:val="clear" w:color="FFFFFF" w:fill="D9D9D9"/>
        </w:rPr>
        <w:fldChar w:fldCharType="end"/>
      </w:r>
      <w:r>
        <w:rPr>
          <w:rFonts w:hint="eastAsia" w:cs="宋体"/>
          <w:color w:val="000000"/>
          <w:sz w:val="24"/>
          <w:szCs w:val="20"/>
          <w:highlight w:val="none"/>
          <w:u w:val="single"/>
          <w:shd w:val="clear" w:color="FFFFFF" w:fill="D9D9D9"/>
        </w:rPr>
        <w:fldChar w:fldCharType="begin">
          <w:ffData>
            <w:name w:val="Text7"/>
            <w:enabled/>
            <w:calcOnExit w:val="0"/>
            <w:textInput/>
          </w:ffData>
        </w:fldChar>
      </w:r>
      <w:bookmarkStart w:id="61" w:name="Text7"/>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lang w:val="en-US"/>
        </w:rPr>
        <w:t>     </w:t>
      </w:r>
      <w:r>
        <w:rPr>
          <w:rFonts w:hint="eastAsia" w:cs="宋体"/>
          <w:color w:val="000000"/>
          <w:sz w:val="24"/>
          <w:szCs w:val="20"/>
          <w:highlight w:val="none"/>
          <w:u w:val="single"/>
          <w:shd w:val="clear" w:color="FFFFFF" w:fill="D9D9D9"/>
        </w:rPr>
        <w:fldChar w:fldCharType="end"/>
      </w:r>
      <w:bookmarkEnd w:id="61"/>
      <w:r>
        <w:rPr>
          <w:rFonts w:hint="eastAsia" w:cs="宋体"/>
          <w:color w:val="000000"/>
          <w:sz w:val="24"/>
          <w:szCs w:val="20"/>
          <w:highlight w:val="none"/>
          <w:u w:val="single"/>
          <w:shd w:val="clear" w:color="FFFFFF" w:fill="D9D9D9"/>
        </w:rPr>
        <w:fldChar w:fldCharType="begin">
          <w:ffData>
            <w:name w:val="Text8"/>
            <w:enabled/>
            <w:calcOnExit w:val="0"/>
            <w:textInput/>
          </w:ffData>
        </w:fldChar>
      </w:r>
      <w:bookmarkStart w:id="62" w:name="Text8"/>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lang w:val="en-US"/>
        </w:rPr>
        <w:t>     </w:t>
      </w:r>
      <w:r>
        <w:rPr>
          <w:rFonts w:hint="eastAsia" w:cs="宋体"/>
          <w:color w:val="000000"/>
          <w:sz w:val="24"/>
          <w:szCs w:val="20"/>
          <w:highlight w:val="none"/>
          <w:u w:val="single"/>
          <w:shd w:val="clear" w:color="FFFFFF" w:fill="D9D9D9"/>
        </w:rPr>
        <w:fldChar w:fldCharType="end"/>
      </w:r>
      <w:bookmarkEnd w:id="62"/>
      <w:r>
        <w:rPr>
          <w:rFonts w:hint="eastAsia" w:cs="宋体"/>
          <w:color w:val="000000"/>
          <w:sz w:val="24"/>
          <w:szCs w:val="20"/>
          <w:highlight w:val="none"/>
          <w:u w:val="single"/>
          <w:shd w:val="clear" w:color="FFFFFF" w:fill="D9D9D9"/>
        </w:rPr>
        <w:fldChar w:fldCharType="begin">
          <w:ffData>
            <w:name w:val="Text9"/>
            <w:enabled/>
            <w:calcOnExit w:val="0"/>
            <w:textInput/>
          </w:ffData>
        </w:fldChar>
      </w:r>
      <w:bookmarkStart w:id="63" w:name="Text9"/>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lang w:val="en-US"/>
        </w:rPr>
        <w:t>     </w:t>
      </w:r>
      <w:r>
        <w:rPr>
          <w:rFonts w:hint="eastAsia" w:cs="宋体"/>
          <w:color w:val="000000"/>
          <w:sz w:val="24"/>
          <w:szCs w:val="20"/>
          <w:highlight w:val="none"/>
          <w:u w:val="single"/>
          <w:shd w:val="clear" w:color="FFFFFF" w:fill="D9D9D9"/>
        </w:rPr>
        <w:fldChar w:fldCharType="end"/>
      </w:r>
      <w:bookmarkEnd w:id="63"/>
      <w:r>
        <w:rPr>
          <w:rFonts w:hint="eastAsia" w:cs="宋体"/>
          <w:color w:val="000000"/>
          <w:sz w:val="24"/>
          <w:szCs w:val="20"/>
          <w:highlight w:val="none"/>
        </w:rPr>
        <w:t>（理财产品管理人）、中国民生银行股份有限公司（</w:t>
      </w:r>
      <w:r>
        <w:rPr>
          <w:rFonts w:hint="eastAsia" w:cs="宋体"/>
          <w:color w:val="000000"/>
          <w:sz w:val="24"/>
          <w:szCs w:val="20"/>
          <w:highlight w:val="none"/>
          <w:lang w:eastAsia="zh-CN"/>
        </w:rPr>
        <w:t>理财托</w:t>
      </w:r>
      <w:r>
        <w:rPr>
          <w:rFonts w:hint="eastAsia" w:cs="宋体"/>
          <w:color w:val="000000"/>
          <w:sz w:val="24"/>
          <w:szCs w:val="20"/>
          <w:highlight w:val="none"/>
        </w:rPr>
        <w:t>管人）签订的编号为</w:t>
      </w:r>
      <w:r>
        <w:rPr>
          <w:rFonts w:hint="eastAsia" w:cs="Arial"/>
          <w:color w:val="000000"/>
          <w:sz w:val="24"/>
          <w:szCs w:val="20"/>
          <w:highlight w:val="none"/>
        </w:rPr>
        <w:t>【</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s="Arial"/>
          <w:color w:val="000000"/>
          <w:sz w:val="24"/>
          <w:szCs w:val="20"/>
          <w:highlight w:val="none"/>
        </w:rPr>
        <w:t>】</w:t>
      </w:r>
      <w:r>
        <w:rPr>
          <w:rFonts w:hint="eastAsia" w:cs="宋体"/>
          <w:color w:val="000000"/>
          <w:sz w:val="24"/>
          <w:szCs w:val="20"/>
          <w:highlight w:val="none"/>
        </w:rPr>
        <w:t>的《</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hint="eastAsia" w:cs="宋体"/>
          <w:color w:val="000000"/>
          <w:sz w:val="24"/>
          <w:szCs w:val="20"/>
          <w:highlight w:val="none"/>
          <w:u w:val="single"/>
          <w:shd w:val="clear" w:color="FFFFFF" w:fill="D9D9D9"/>
        </w:rPr>
        <w:t>太原市城区农村信用合作联社信盈宝系列</w:t>
      </w:r>
      <w:r>
        <w:rPr>
          <w:rFonts w:hint="eastAsia" w:cs="宋体"/>
          <w:color w:val="000000"/>
          <w:sz w:val="24"/>
          <w:szCs w:val="20"/>
          <w:highlight w:val="none"/>
          <w:u w:val="single"/>
          <w:shd w:val="clear" w:color="FFFFFF" w:fill="D9D9D9"/>
        </w:rPr>
        <w:fldChar w:fldCharType="end"/>
      </w:r>
      <w:r>
        <w:rPr>
          <w:rFonts w:hint="eastAsia" w:cs="Arial"/>
          <w:color w:val="000000"/>
          <w:sz w:val="24"/>
          <w:szCs w:val="20"/>
          <w:highlight w:val="none"/>
        </w:rPr>
        <w:t>理财计划托管</w:t>
      </w:r>
      <w:r>
        <w:rPr>
          <w:rFonts w:hint="eastAsia" w:cs="宋体"/>
          <w:color w:val="000000"/>
          <w:sz w:val="24"/>
          <w:szCs w:val="20"/>
          <w:highlight w:val="none"/>
        </w:rPr>
        <w:t>协议》（以下简称“托管协议”），我行对理财</w:t>
      </w:r>
      <w:r>
        <w:rPr>
          <w:rFonts w:hint="eastAsia" w:cs="宋体"/>
          <w:color w:val="000000"/>
          <w:sz w:val="24"/>
          <w:szCs w:val="20"/>
          <w:highlight w:val="none"/>
          <w:lang w:eastAsia="zh-CN"/>
        </w:rPr>
        <w:t>产品</w:t>
      </w:r>
      <w:r>
        <w:rPr>
          <w:rFonts w:hint="eastAsia" w:cs="宋体"/>
          <w:color w:val="000000"/>
          <w:sz w:val="24"/>
          <w:szCs w:val="20"/>
          <w:highlight w:val="none"/>
        </w:rPr>
        <w:t>进行了</w:t>
      </w:r>
      <w:r>
        <w:rPr>
          <w:rFonts w:hint="eastAsia" w:cs="宋体"/>
          <w:color w:val="000000"/>
          <w:sz w:val="24"/>
          <w:szCs w:val="20"/>
          <w:highlight w:val="none"/>
          <w:lang w:eastAsia="zh-CN"/>
        </w:rPr>
        <w:t>托</w:t>
      </w:r>
      <w:r>
        <w:rPr>
          <w:rFonts w:hint="eastAsia" w:cs="宋体"/>
          <w:color w:val="000000"/>
          <w:sz w:val="24"/>
          <w:szCs w:val="20"/>
          <w:highlight w:val="none"/>
        </w:rPr>
        <w:t>管。</w:t>
      </w:r>
    </w:p>
    <w:p>
      <w:pPr>
        <w:tabs>
          <w:tab w:val="left" w:pos="1455"/>
        </w:tabs>
        <w:spacing w:line="420" w:lineRule="exact"/>
        <w:ind w:left="424" w:leftChars="202" w:right="451" w:rightChars="215" w:firstLine="480" w:firstLineChars="200"/>
        <w:rPr>
          <w:color w:val="000000"/>
          <w:kern w:val="0"/>
          <w:sz w:val="24"/>
          <w:szCs w:val="20"/>
          <w:highlight w:val="none"/>
        </w:rPr>
      </w:pPr>
      <w:r>
        <w:rPr>
          <w:rFonts w:hint="eastAsia" w:cs="宋体"/>
          <w:color w:val="000000"/>
          <w:kern w:val="0"/>
          <w:sz w:val="24"/>
          <w:szCs w:val="20"/>
          <w:highlight w:val="none"/>
        </w:rPr>
        <w:t>报告期内，本理财</w:t>
      </w:r>
      <w:r>
        <w:rPr>
          <w:rFonts w:hint="eastAsia" w:cs="宋体"/>
          <w:color w:val="000000"/>
          <w:kern w:val="0"/>
          <w:sz w:val="24"/>
          <w:szCs w:val="20"/>
          <w:highlight w:val="none"/>
          <w:lang w:eastAsia="zh-CN"/>
        </w:rPr>
        <w:t>产品</w:t>
      </w:r>
      <w:r>
        <w:rPr>
          <w:rFonts w:hint="eastAsia" w:cs="宋体"/>
          <w:color w:val="000000"/>
          <w:kern w:val="0"/>
          <w:sz w:val="24"/>
          <w:szCs w:val="20"/>
          <w:highlight w:val="none"/>
        </w:rPr>
        <w:t>托管情况说明如下：</w:t>
      </w:r>
    </w:p>
    <w:p>
      <w:pPr>
        <w:tabs>
          <w:tab w:val="left" w:pos="1455"/>
        </w:tabs>
        <w:spacing w:line="420" w:lineRule="exact"/>
        <w:ind w:left="424" w:leftChars="202" w:right="451" w:rightChars="215" w:firstLine="480" w:firstLineChars="200"/>
        <w:rPr>
          <w:color w:val="000000"/>
          <w:kern w:val="0"/>
          <w:sz w:val="24"/>
          <w:szCs w:val="20"/>
          <w:highlight w:val="none"/>
        </w:rPr>
      </w:pPr>
    </w:p>
    <w:p>
      <w:pPr>
        <w:tabs>
          <w:tab w:val="left" w:pos="1455"/>
        </w:tabs>
        <w:spacing w:line="420" w:lineRule="exact"/>
        <w:ind w:left="424" w:leftChars="202" w:right="451" w:rightChars="215" w:firstLine="480" w:firstLineChars="200"/>
        <w:rPr>
          <w:color w:val="000000"/>
          <w:kern w:val="0"/>
          <w:sz w:val="24"/>
          <w:szCs w:val="20"/>
          <w:highlight w:val="none"/>
        </w:rPr>
      </w:pPr>
      <w:r>
        <w:rPr>
          <w:rFonts w:hint="eastAsia" w:cs="宋体"/>
          <w:color w:val="000000"/>
          <w:kern w:val="0"/>
          <w:sz w:val="24"/>
          <w:szCs w:val="20"/>
          <w:highlight w:val="none"/>
        </w:rPr>
        <w:t>一、本报告期托管情况说明、账户运作情况等说明</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s="宋体"/>
          <w:color w:val="000000"/>
          <w:kern w:val="0"/>
          <w:sz w:val="24"/>
          <w:szCs w:val="20"/>
          <w:highlight w:val="none"/>
        </w:rPr>
        <w:t>本理财产品，于</w:t>
      </w:r>
      <w:r>
        <w:rPr>
          <w:rFonts w:hint="eastAsia"/>
          <w:color w:val="000000"/>
          <w:sz w:val="24"/>
          <w:szCs w:val="20"/>
          <w:highlight w:val="none"/>
        </w:rPr>
        <w:t>【</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】年【</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】月【</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】日正式成立，实收理财资金：</w:t>
      </w:r>
      <w:r>
        <w:rPr>
          <w:rFonts w:hint="eastAsia"/>
          <w:sz w:val="24"/>
          <w:szCs w:val="24"/>
          <w:highlight w:val="none"/>
        </w:rPr>
        <w:t>（币种）</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r>
        <w:rPr>
          <w:rFonts w:hint="eastAsia" w:cs="宋体"/>
          <w:color w:val="000000"/>
          <w:sz w:val="24"/>
          <w:szCs w:val="20"/>
          <w:highlight w:val="none"/>
        </w:rPr>
        <w:t>金额</w:t>
      </w:r>
      <w:r>
        <w:rPr>
          <w:rFonts w:hint="eastAsia"/>
          <w:color w:val="000000"/>
          <w:sz w:val="24"/>
          <w:szCs w:val="20"/>
          <w:highlight w:val="none"/>
        </w:rPr>
        <w:t>【</w:t>
      </w:r>
      <w:r>
        <w:rPr>
          <w:rFonts w:hint="eastAsia" w:cs="宋体"/>
          <w:color w:val="000000"/>
          <w:sz w:val="24"/>
          <w:szCs w:val="20"/>
          <w:highlight w:val="none"/>
          <w:shd w:val="clear" w:color="FFFFFF" w:fill="D9D9D9"/>
        </w:rPr>
        <w:fldChar w:fldCharType="begin">
          <w:ffData>
            <w:enabled/>
            <w:calcOnExit w:val="0"/>
            <w:textInput/>
          </w:ffData>
        </w:fldChar>
      </w:r>
      <w:r>
        <w:rPr>
          <w:rFonts w:hint="eastAsia" w:cs="宋体"/>
          <w:color w:val="000000"/>
          <w:sz w:val="24"/>
          <w:szCs w:val="20"/>
          <w:highlight w:val="none"/>
          <w:shd w:val="clear" w:color="FFFFFF" w:fill="D9D9D9"/>
        </w:rPr>
        <w:instrText xml:space="preserve">FORMTEXT</w:instrText>
      </w:r>
      <w:r>
        <w:rPr>
          <w:rFonts w:hint="eastAsia" w:cs="宋体"/>
          <w:color w:val="000000"/>
          <w:sz w:val="24"/>
          <w:szCs w:val="20"/>
          <w:highlight w:val="none"/>
          <w:shd w:val="clear" w:color="FFFFFF" w:fill="D9D9D9"/>
        </w:rPr>
        <w:fldChar w:fldCharType="separate"/>
      </w:r>
      <w:r>
        <w:rPr>
          <w:rFonts w:cs="宋体"/>
          <w:color w:val="000000"/>
          <w:sz w:val="24"/>
          <w:szCs w:val="20"/>
          <w:highlight w:val="none"/>
          <w:shd w:val="clear" w:color="FFFFFF" w:fill="D9D9D9"/>
        </w:rPr>
        <w:t>     </w:t>
      </w:r>
      <w:r>
        <w:rPr>
          <w:rFonts w:hint="eastAsia" w:cs="宋体"/>
          <w:color w:val="000000"/>
          <w:sz w:val="24"/>
          <w:szCs w:val="20"/>
          <w:highlight w:val="none"/>
          <w:shd w:val="clear" w:color="FFFFFF" w:fill="D9D9D9"/>
        </w:rPr>
        <w:fldChar w:fldCharType="end"/>
      </w:r>
      <w:r>
        <w:rPr>
          <w:rFonts w:hint="eastAsia"/>
          <w:color w:val="000000"/>
          <w:sz w:val="24"/>
          <w:szCs w:val="20"/>
          <w:highlight w:val="none"/>
        </w:rPr>
        <w:t>】；</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本报告期，本理财产品账户运作情况详见附件。</w:t>
      </w:r>
    </w:p>
    <w:p>
      <w:pPr>
        <w:tabs>
          <w:tab w:val="left" w:pos="1455"/>
        </w:tabs>
        <w:spacing w:line="420" w:lineRule="exact"/>
        <w:ind w:left="424" w:leftChars="202" w:right="451" w:rightChars="215" w:firstLine="480" w:firstLineChars="200"/>
        <w:rPr>
          <w:color w:val="000000"/>
          <w:kern w:val="0"/>
          <w:sz w:val="24"/>
          <w:szCs w:val="20"/>
          <w:highlight w:val="none"/>
        </w:rPr>
      </w:pPr>
    </w:p>
    <w:p>
      <w:pPr>
        <w:tabs>
          <w:tab w:val="left" w:pos="1455"/>
        </w:tabs>
        <w:spacing w:line="420" w:lineRule="exact"/>
        <w:ind w:left="424" w:leftChars="202" w:right="451" w:rightChars="215" w:firstLine="480" w:firstLineChars="200"/>
        <w:rPr>
          <w:color w:val="000000"/>
          <w:kern w:val="0"/>
          <w:sz w:val="24"/>
          <w:szCs w:val="20"/>
          <w:highlight w:val="none"/>
        </w:rPr>
      </w:pPr>
      <w:r>
        <w:rPr>
          <w:rFonts w:hint="eastAsia" w:cs="宋体"/>
          <w:color w:val="000000"/>
          <w:kern w:val="0"/>
          <w:sz w:val="24"/>
          <w:szCs w:val="20"/>
          <w:highlight w:val="none"/>
        </w:rPr>
        <w:t>二、其他说明（含对甲方的合规监督，如有）</w:t>
      </w:r>
    </w:p>
    <w:p>
      <w:pPr>
        <w:tabs>
          <w:tab w:val="left" w:pos="1455"/>
        </w:tabs>
        <w:spacing w:line="420" w:lineRule="exact"/>
        <w:ind w:left="424" w:leftChars="202" w:right="451" w:rightChars="215" w:firstLine="480" w:firstLineChars="200"/>
        <w:rPr>
          <w:color w:val="000000"/>
          <w:kern w:val="0"/>
          <w:sz w:val="24"/>
          <w:szCs w:val="20"/>
          <w:highlight w:val="none"/>
        </w:rPr>
      </w:pPr>
      <w:r>
        <w:rPr>
          <w:rFonts w:hint="eastAsia" w:cs="宋体"/>
          <w:color w:val="000000"/>
          <w:kern w:val="0"/>
          <w:sz w:val="24"/>
          <w:szCs w:val="20"/>
          <w:highlight w:val="none"/>
        </w:rPr>
        <w:t xml:space="preserve"> </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r>
        <w:rPr>
          <w:rFonts w:hint="eastAsia" w:cs="宋体"/>
          <w:color w:val="000000"/>
          <w:kern w:val="0"/>
          <w:sz w:val="24"/>
          <w:szCs w:val="20"/>
          <w:highlight w:val="none"/>
        </w:rPr>
        <w:t xml:space="preserve"> </w:t>
      </w:r>
    </w:p>
    <w:p>
      <w:pPr>
        <w:tabs>
          <w:tab w:val="left" w:pos="1455"/>
        </w:tabs>
        <w:spacing w:line="420" w:lineRule="exact"/>
        <w:ind w:left="424" w:leftChars="202" w:right="451" w:rightChars="215" w:firstLine="480" w:firstLineChars="200"/>
        <w:rPr>
          <w:rFonts w:hint="eastAsia" w:cs="宋体"/>
          <w:color w:val="000000"/>
          <w:sz w:val="24"/>
          <w:szCs w:val="20"/>
          <w:highlight w:val="none"/>
        </w:rPr>
      </w:pPr>
    </w:p>
    <w:p>
      <w:pPr>
        <w:tabs>
          <w:tab w:val="left" w:pos="1455"/>
        </w:tabs>
        <w:spacing w:line="420" w:lineRule="exact"/>
        <w:ind w:left="424" w:leftChars="202" w:right="451" w:rightChars="215" w:firstLine="480" w:firstLineChars="200"/>
        <w:rPr>
          <w:rFonts w:cs="宋体"/>
          <w:color w:val="000000"/>
          <w:sz w:val="24"/>
          <w:szCs w:val="20"/>
          <w:highlight w:val="none"/>
        </w:rPr>
      </w:pPr>
      <w:r>
        <w:rPr>
          <w:rFonts w:hint="eastAsia" w:cs="宋体"/>
          <w:color w:val="000000"/>
          <w:sz w:val="24"/>
          <w:szCs w:val="20"/>
          <w:highlight w:val="none"/>
        </w:rPr>
        <w:t>报告期内，本托管人在对本理财产品的托管过程中，严格遵守了法律、法规及托管协议的规定，诚实信用地履行了托管人职责，没有发生任何损害本理财产品委托人利益的行为。</w:t>
      </w:r>
    </w:p>
    <w:p>
      <w:pPr>
        <w:tabs>
          <w:tab w:val="left" w:pos="1455"/>
        </w:tabs>
        <w:spacing w:line="420" w:lineRule="exact"/>
        <w:ind w:left="424" w:leftChars="202" w:right="451" w:rightChars="215" w:firstLine="480" w:firstLineChars="200"/>
        <w:rPr>
          <w:rFonts w:cs="宋体"/>
          <w:color w:val="000000"/>
          <w:sz w:val="24"/>
          <w:szCs w:val="20"/>
          <w:highlight w:val="none"/>
        </w:rPr>
      </w:pPr>
    </w:p>
    <w:p>
      <w:pPr>
        <w:tabs>
          <w:tab w:val="left" w:pos="1455"/>
        </w:tabs>
        <w:spacing w:line="420" w:lineRule="exact"/>
        <w:ind w:left="424" w:leftChars="202" w:right="451" w:rightChars="215" w:firstLine="480" w:firstLineChars="200"/>
        <w:rPr>
          <w:rFonts w:cs="宋体"/>
          <w:color w:val="000000"/>
          <w:sz w:val="24"/>
          <w:szCs w:val="20"/>
          <w:highlight w:val="none"/>
        </w:rPr>
      </w:pPr>
    </w:p>
    <w:p>
      <w:pPr>
        <w:tabs>
          <w:tab w:val="left" w:pos="1455"/>
        </w:tabs>
        <w:spacing w:line="420" w:lineRule="exact"/>
        <w:ind w:left="424" w:leftChars="202" w:right="451" w:rightChars="215" w:firstLine="480" w:firstLineChars="200"/>
        <w:jc w:val="center"/>
        <w:rPr>
          <w:rFonts w:cs="宋体"/>
          <w:color w:val="000000"/>
          <w:sz w:val="24"/>
          <w:szCs w:val="20"/>
          <w:highlight w:val="none"/>
        </w:rPr>
      </w:pPr>
      <w:r>
        <w:rPr>
          <w:rFonts w:hint="eastAsia" w:cs="宋体"/>
          <w:color w:val="000000"/>
          <w:sz w:val="24"/>
          <w:szCs w:val="20"/>
          <w:highlight w:val="none"/>
        </w:rPr>
        <w:t xml:space="preserve">                     中国民生银行股份有限公司（托管业务专用章）</w:t>
      </w:r>
    </w:p>
    <w:p>
      <w:pPr>
        <w:tabs>
          <w:tab w:val="left" w:pos="1455"/>
        </w:tabs>
        <w:spacing w:line="420" w:lineRule="exact"/>
        <w:ind w:left="424" w:leftChars="202" w:right="451" w:rightChars="215" w:firstLine="480" w:firstLineChars="200"/>
        <w:rPr>
          <w:rFonts w:hint="eastAsia"/>
          <w:color w:val="000000"/>
          <w:sz w:val="24"/>
          <w:szCs w:val="20"/>
          <w:highlight w:val="none"/>
        </w:rPr>
      </w:pPr>
    </w:p>
    <w:p>
      <w:pPr>
        <w:tabs>
          <w:tab w:val="left" w:pos="1455"/>
        </w:tabs>
        <w:spacing w:line="420" w:lineRule="exact"/>
        <w:ind w:left="424" w:leftChars="202" w:right="451" w:rightChars="215" w:firstLine="480" w:firstLineChars="200"/>
        <w:rPr>
          <w:rFonts w:hint="eastAsia"/>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sectPr>
          <w:pgSz w:w="11849" w:h="16781"/>
          <w:pgMar w:top="964" w:right="1501" w:bottom="964" w:left="964" w:header="850" w:footer="992" w:gutter="0"/>
          <w:pgNumType w:fmt="decimal"/>
          <w:cols w:space="720" w:num="1"/>
          <w:formProt w:val="1"/>
          <w:docGrid w:type="linesAndChars" w:linePitch="312" w:charSpace="0"/>
        </w:sectPr>
      </w:pPr>
      <w:r>
        <w:rPr>
          <w:rFonts w:hint="eastAsia"/>
          <w:color w:val="000000"/>
          <w:sz w:val="24"/>
          <w:szCs w:val="20"/>
          <w:highlight w:val="none"/>
        </w:rPr>
        <w:t xml:space="preserve">                      【</w:t>
      </w:r>
      <w:r>
        <w:rPr>
          <w:rFonts w:hint="eastAsia"/>
          <w:color w:val="000000"/>
          <w:sz w:val="24"/>
          <w:szCs w:val="20"/>
          <w:highlight w:val="none"/>
          <w:shd w:val="clear" w:color="FFFFFF" w:fill="D9D9D9"/>
        </w:rPr>
        <w:fldChar w:fldCharType="begin">
          <w:ffData>
            <w:enabled/>
            <w:calcOnExit w:val="0"/>
            <w:textInput/>
          </w:ffData>
        </w:fldChar>
      </w:r>
      <w:r>
        <w:rPr>
          <w:rFonts w:hint="eastAsia"/>
          <w:color w:val="000000"/>
          <w:sz w:val="24"/>
          <w:szCs w:val="20"/>
          <w:highlight w:val="none"/>
          <w:shd w:val="clear" w:color="FFFFFF" w:fill="D9D9D9"/>
        </w:rPr>
        <w:instrText xml:space="preserve">FORMTEXT</w:instrText>
      </w:r>
      <w:r>
        <w:rPr>
          <w:rFonts w:hint="eastAsia"/>
          <w:color w:val="000000"/>
          <w:sz w:val="24"/>
          <w:szCs w:val="20"/>
          <w:highlight w:val="none"/>
          <w:shd w:val="clear" w:color="FFFFFF" w:fill="D9D9D9"/>
        </w:rPr>
        <w:fldChar w:fldCharType="separate"/>
      </w:r>
      <w:r>
        <w:rPr>
          <w:rFonts w:hint="eastAsia"/>
          <w:color w:val="000000"/>
          <w:sz w:val="24"/>
          <w:szCs w:val="20"/>
          <w:highlight w:val="none"/>
          <w:shd w:val="clear" w:color="FFFFFF" w:fill="D9D9D9"/>
        </w:rPr>
        <w:t>   </w:t>
      </w:r>
      <w:r>
        <w:rPr>
          <w:rFonts w:hint="eastAsia"/>
          <w:color w:val="000000"/>
          <w:sz w:val="24"/>
          <w:szCs w:val="20"/>
          <w:highlight w:val="none"/>
          <w:shd w:val="clear" w:color="FFFFFF" w:fill="D9D9D9"/>
        </w:rPr>
        <w:fldChar w:fldCharType="end"/>
      </w:r>
      <w:r>
        <w:rPr>
          <w:rFonts w:hint="eastAsia"/>
          <w:color w:val="000000"/>
          <w:sz w:val="24"/>
          <w:szCs w:val="20"/>
          <w:highlight w:val="none"/>
        </w:rPr>
        <w:t>】年【</w:t>
      </w:r>
      <w:r>
        <w:rPr>
          <w:rFonts w:hint="eastAsia"/>
          <w:color w:val="000000"/>
          <w:sz w:val="24"/>
          <w:szCs w:val="20"/>
          <w:highlight w:val="none"/>
          <w:shd w:val="clear" w:color="FFFFFF" w:fill="D9D9D9"/>
        </w:rPr>
        <w:fldChar w:fldCharType="begin">
          <w:ffData>
            <w:enabled/>
            <w:calcOnExit w:val="0"/>
            <w:textInput/>
          </w:ffData>
        </w:fldChar>
      </w:r>
      <w:r>
        <w:rPr>
          <w:rFonts w:hint="eastAsia"/>
          <w:color w:val="000000"/>
          <w:sz w:val="24"/>
          <w:szCs w:val="20"/>
          <w:highlight w:val="none"/>
          <w:shd w:val="clear" w:color="FFFFFF" w:fill="D9D9D9"/>
        </w:rPr>
        <w:instrText xml:space="preserve">FORMTEXT</w:instrText>
      </w:r>
      <w:r>
        <w:rPr>
          <w:rFonts w:hint="eastAsia"/>
          <w:color w:val="000000"/>
          <w:sz w:val="24"/>
          <w:szCs w:val="20"/>
          <w:highlight w:val="none"/>
          <w:shd w:val="clear" w:color="FFFFFF" w:fill="D9D9D9"/>
        </w:rPr>
        <w:fldChar w:fldCharType="separate"/>
      </w:r>
      <w:r>
        <w:rPr>
          <w:rFonts w:hint="eastAsia"/>
          <w:color w:val="000000"/>
          <w:sz w:val="24"/>
          <w:szCs w:val="20"/>
          <w:highlight w:val="none"/>
          <w:shd w:val="clear" w:color="FFFFFF" w:fill="D9D9D9"/>
        </w:rPr>
        <w:t>   </w:t>
      </w:r>
      <w:r>
        <w:rPr>
          <w:rFonts w:hint="eastAsia"/>
          <w:color w:val="000000"/>
          <w:sz w:val="24"/>
          <w:szCs w:val="20"/>
          <w:highlight w:val="none"/>
          <w:shd w:val="clear" w:color="FFFFFF" w:fill="D9D9D9"/>
        </w:rPr>
        <w:fldChar w:fldCharType="end"/>
      </w:r>
      <w:r>
        <w:rPr>
          <w:rFonts w:hint="eastAsia"/>
          <w:color w:val="000000"/>
          <w:sz w:val="24"/>
          <w:szCs w:val="20"/>
          <w:highlight w:val="none"/>
        </w:rPr>
        <w:t>】月【</w:t>
      </w:r>
      <w:r>
        <w:rPr>
          <w:rFonts w:hint="eastAsia"/>
          <w:color w:val="000000"/>
          <w:sz w:val="24"/>
          <w:szCs w:val="20"/>
          <w:highlight w:val="none"/>
          <w:shd w:val="clear" w:color="FFFFFF" w:fill="D9D9D9"/>
        </w:rPr>
        <w:fldChar w:fldCharType="begin">
          <w:ffData>
            <w:enabled/>
            <w:calcOnExit w:val="0"/>
            <w:textInput/>
          </w:ffData>
        </w:fldChar>
      </w:r>
      <w:r>
        <w:rPr>
          <w:rFonts w:hint="eastAsia"/>
          <w:color w:val="000000"/>
          <w:sz w:val="24"/>
          <w:szCs w:val="20"/>
          <w:highlight w:val="none"/>
          <w:shd w:val="clear" w:color="FFFFFF" w:fill="D9D9D9"/>
        </w:rPr>
        <w:instrText xml:space="preserve">FORMTEXT</w:instrText>
      </w:r>
      <w:r>
        <w:rPr>
          <w:rFonts w:hint="eastAsia"/>
          <w:color w:val="000000"/>
          <w:sz w:val="24"/>
          <w:szCs w:val="20"/>
          <w:highlight w:val="none"/>
          <w:shd w:val="clear" w:color="FFFFFF" w:fill="D9D9D9"/>
        </w:rPr>
        <w:fldChar w:fldCharType="separate"/>
      </w:r>
      <w:r>
        <w:rPr>
          <w:rFonts w:hint="eastAsia"/>
          <w:color w:val="000000"/>
          <w:sz w:val="24"/>
          <w:szCs w:val="20"/>
          <w:highlight w:val="none"/>
          <w:shd w:val="clear" w:color="FFFFFF" w:fill="D9D9D9"/>
        </w:rPr>
        <w:t>   </w:t>
      </w:r>
      <w:r>
        <w:rPr>
          <w:rFonts w:hint="eastAsia"/>
          <w:color w:val="000000"/>
          <w:sz w:val="24"/>
          <w:szCs w:val="20"/>
          <w:highlight w:val="none"/>
          <w:shd w:val="clear" w:color="FFFFFF" w:fill="D9D9D9"/>
        </w:rPr>
        <w:fldChar w:fldCharType="end"/>
      </w:r>
      <w:r>
        <w:rPr>
          <w:rFonts w:hint="eastAsia"/>
          <w:color w:val="000000"/>
          <w:sz w:val="24"/>
          <w:szCs w:val="20"/>
          <w:highlight w:val="none"/>
        </w:rPr>
        <w:t>】日</w:t>
      </w:r>
    </w:p>
    <w:p>
      <w:pPr>
        <w:pStyle w:val="2"/>
        <w:snapToGrid w:val="0"/>
        <w:spacing w:before="0" w:beforeLines="0" w:after="0" w:afterLines="0" w:line="420" w:lineRule="exact"/>
        <w:ind w:left="424" w:leftChars="202" w:right="451" w:rightChars="215"/>
        <w:rPr>
          <w:rFonts w:hint="eastAsia"/>
          <w:kern w:val="2"/>
          <w:sz w:val="24"/>
          <w:szCs w:val="24"/>
          <w:highlight w:val="none"/>
        </w:rPr>
      </w:pPr>
      <w:bookmarkStart w:id="64" w:name="_Toc382124809"/>
      <w:bookmarkStart w:id="65" w:name="_Toc13119"/>
      <w:bookmarkStart w:id="66" w:name="_Toc382240680"/>
      <w:r>
        <w:rPr>
          <w:rFonts w:hint="eastAsia"/>
          <w:sz w:val="24"/>
          <w:highlight w:val="none"/>
        </w:rPr>
        <w:t>附件七</w:t>
      </w:r>
      <w:r>
        <w:rPr>
          <w:rFonts w:hint="eastAsia"/>
          <w:kern w:val="2"/>
          <w:sz w:val="24"/>
          <w:szCs w:val="24"/>
          <w:highlight w:val="none"/>
        </w:rPr>
        <w:t>：业务联系单</w:t>
      </w:r>
      <w:bookmarkEnd w:id="64"/>
      <w:bookmarkEnd w:id="65"/>
    </w:p>
    <w:p>
      <w:pPr>
        <w:pStyle w:val="2"/>
        <w:ind w:left="424" w:leftChars="202" w:right="451" w:rightChars="215"/>
        <w:rPr>
          <w:sz w:val="24"/>
          <w:szCs w:val="24"/>
          <w:highlight w:val="none"/>
        </w:rPr>
      </w:pPr>
      <w:bookmarkStart w:id="67" w:name="_Toc13521"/>
      <w:r>
        <w:rPr>
          <w:rFonts w:hint="eastAsia"/>
          <w:sz w:val="24"/>
          <w:szCs w:val="24"/>
          <w:highlight w:val="none"/>
        </w:rPr>
        <w:t>附件七</w:t>
      </w:r>
      <w:r>
        <w:rPr>
          <w:sz w:val="24"/>
          <w:szCs w:val="24"/>
          <w:highlight w:val="none"/>
        </w:rPr>
        <w:t>-1</w:t>
      </w:r>
      <w:r>
        <w:rPr>
          <w:rFonts w:hint="eastAsia"/>
          <w:sz w:val="24"/>
          <w:szCs w:val="24"/>
          <w:highlight w:val="none"/>
        </w:rPr>
        <w:t xml:space="preserve">： </w:t>
      </w:r>
      <w:bookmarkEnd w:id="66"/>
      <w:bookmarkEnd w:id="67"/>
    </w:p>
    <w:p>
      <w:pPr>
        <w:tabs>
          <w:tab w:val="left" w:pos="1455"/>
        </w:tabs>
        <w:spacing w:line="420" w:lineRule="exact"/>
        <w:ind w:left="424" w:leftChars="202" w:right="451" w:rightChars="215"/>
        <w:jc w:val="center"/>
        <w:rPr>
          <w:b/>
          <w:color w:val="000000"/>
          <w:sz w:val="24"/>
          <w:szCs w:val="20"/>
          <w:highlight w:val="none"/>
        </w:rPr>
      </w:pPr>
      <w:r>
        <w:rPr>
          <w:rFonts w:hint="eastAsia"/>
          <w:b/>
          <w:color w:val="000000"/>
          <w:sz w:val="24"/>
          <w:szCs w:val="20"/>
          <w:highlight w:val="none"/>
        </w:rPr>
        <w:t>业务联系单（</w:t>
      </w:r>
      <w:r>
        <w:rPr>
          <w:rFonts w:hint="eastAsia" w:cs="宋体"/>
          <w:color w:val="000000"/>
          <w:sz w:val="24"/>
          <w:szCs w:val="20"/>
          <w:highlight w:val="none"/>
          <w:u w:val="single"/>
          <w:shd w:val="clear" w:color="FFFFFF" w:fill="D9D9D9"/>
        </w:rPr>
        <w:fldChar w:fldCharType="begin">
          <w:ffData>
            <w:enabled/>
            <w:calcOnExit w:val="0"/>
            <w:textInput/>
          </w:ffData>
        </w:fldChar>
      </w:r>
      <w:r>
        <w:rPr>
          <w:rFonts w:hint="eastAsia" w:cs="宋体"/>
          <w:color w:val="000000"/>
          <w:sz w:val="24"/>
          <w:szCs w:val="20"/>
          <w:highlight w:val="none"/>
          <w:u w:val="single"/>
          <w:shd w:val="clear" w:color="FFFFFF" w:fill="D9D9D9"/>
        </w:rPr>
        <w:instrText xml:space="preserve">FORMTEXT</w:instrText>
      </w:r>
      <w:r>
        <w:rPr>
          <w:rFonts w:hint="eastAsia" w:cs="宋体"/>
          <w:color w:val="000000"/>
          <w:sz w:val="24"/>
          <w:szCs w:val="20"/>
          <w:highlight w:val="none"/>
          <w:u w:val="single"/>
          <w:shd w:val="clear" w:color="FFFFFF" w:fill="D9D9D9"/>
        </w:rPr>
        <w:fldChar w:fldCharType="separate"/>
      </w:r>
      <w:r>
        <w:rPr>
          <w:rFonts w:cs="宋体"/>
          <w:color w:val="000000"/>
          <w:sz w:val="24"/>
          <w:szCs w:val="20"/>
          <w:highlight w:val="none"/>
          <w:u w:val="single"/>
          <w:shd w:val="clear" w:color="FFFFFF" w:fill="D9D9D9"/>
        </w:rPr>
        <w:t>     </w:t>
      </w:r>
      <w:r>
        <w:rPr>
          <w:rFonts w:hint="eastAsia" w:cs="宋体"/>
          <w:color w:val="000000"/>
          <w:sz w:val="24"/>
          <w:szCs w:val="20"/>
          <w:highlight w:val="none"/>
          <w:u w:val="single"/>
          <w:shd w:val="clear" w:color="FFFFFF" w:fill="D9D9D9"/>
        </w:rPr>
        <w:fldChar w:fldCharType="end"/>
      </w:r>
      <w:r>
        <w:rPr>
          <w:rFonts w:hint="eastAsia"/>
          <w:b/>
          <w:color w:val="000000"/>
          <w:sz w:val="24"/>
          <w:szCs w:val="20"/>
          <w:highlight w:val="none"/>
        </w:rPr>
        <w:t>）</w:t>
      </w: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操作人员</w:t>
      </w:r>
    </w:p>
    <w:tbl>
      <w:tblPr>
        <w:tblStyle w:val="15"/>
        <w:tblW w:w="92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1843"/>
        <w:gridCol w:w="1440"/>
        <w:gridCol w:w="1890"/>
        <w:gridCol w:w="26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372" w:right="451" w:rightChars="215" w:hanging="372" w:hangingChars="155"/>
              <w:jc w:val="center"/>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姓名</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0" w:right="451" w:rightChars="215"/>
              <w:jc w:val="center"/>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岗位说明</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0" w:right="0"/>
              <w:jc w:val="center"/>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联系电话</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67" w:leftChars="32" w:right="451" w:rightChars="215"/>
              <w:jc w:val="center"/>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传真电话</w:t>
            </w:r>
          </w:p>
        </w:tc>
        <w:tc>
          <w:tcPr>
            <w:tcW w:w="2623"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0"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44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50" w:leftChars="-24" w:right="451" w:rightChars="215" w:firstLine="48" w:firstLineChars="20"/>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89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0"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44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50" w:leftChars="-24" w:right="451" w:rightChars="215" w:firstLine="48" w:firstLineChars="20"/>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89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0"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44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50" w:leftChars="-24" w:right="451" w:rightChars="215" w:firstLine="48" w:firstLineChars="20"/>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89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0"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44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50" w:leftChars="-24" w:right="451" w:rightChars="215" w:firstLine="48" w:firstLineChars="20"/>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89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bl>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pPr>
    </w:p>
    <w:p>
      <w:pPr>
        <w:tabs>
          <w:tab w:val="left" w:pos="1455"/>
        </w:tabs>
        <w:spacing w:line="420" w:lineRule="exact"/>
        <w:ind w:left="424" w:leftChars="202" w:right="451" w:rightChars="215" w:firstLine="480" w:firstLineChars="200"/>
        <w:rPr>
          <w:color w:val="000000"/>
          <w:sz w:val="24"/>
          <w:szCs w:val="20"/>
          <w:highlight w:val="none"/>
        </w:rPr>
      </w:pPr>
      <w:r>
        <w:rPr>
          <w:rFonts w:hint="eastAsia"/>
          <w:color w:val="000000"/>
          <w:sz w:val="24"/>
          <w:szCs w:val="20"/>
          <w:highlight w:val="none"/>
        </w:rPr>
        <w:t>业务联系人员</w:t>
      </w:r>
    </w:p>
    <w:tbl>
      <w:tblPr>
        <w:tblStyle w:val="15"/>
        <w:tblpPr w:leftFromText="180" w:rightFromText="180" w:vertAnchor="text" w:horzAnchor="page" w:tblpX="1321" w:tblpY="428"/>
        <w:tblOverlap w:val="never"/>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1843"/>
        <w:gridCol w:w="1487"/>
        <w:gridCol w:w="1922"/>
        <w:gridCol w:w="23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0" w:right="451" w:rightChars="215"/>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姓名</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0" w:right="451" w:rightChars="215"/>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岗位说明</w:t>
            </w:r>
          </w:p>
        </w:tc>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271"/>
                <w:tab w:val="left" w:pos="1455"/>
              </w:tabs>
              <w:spacing w:before="0" w:beforeAutospacing="0" w:after="0" w:afterAutospacing="0" w:line="420" w:lineRule="exact"/>
              <w:ind w:left="0" w:right="0"/>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联系电话</w:t>
            </w:r>
          </w:p>
        </w:tc>
        <w:tc>
          <w:tcPr>
            <w:tcW w:w="19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2" w:right="451" w:rightChars="215" w:hanging="422" w:hangingChars="176"/>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传真电话</w:t>
            </w:r>
          </w:p>
        </w:tc>
        <w:tc>
          <w:tcPr>
            <w:tcW w:w="2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55"/>
              </w:tabs>
              <w:spacing w:before="0" w:beforeAutospacing="0" w:after="0" w:afterAutospacing="0" w:line="420" w:lineRule="exact"/>
              <w:ind w:left="424" w:leftChars="202" w:right="451" w:rightChars="215" w:firstLine="480" w:firstLineChars="200"/>
              <w:rPr>
                <w:rFonts w:ascii="Calibri" w:hAnsi="Calibri" w:eastAsia="宋体" w:cs="Times New Roman"/>
                <w:color w:val="000000"/>
                <w:sz w:val="24"/>
                <w:szCs w:val="20"/>
                <w:highlight w:val="none"/>
              </w:rPr>
            </w:pPr>
            <w:r>
              <w:rPr>
                <w:rFonts w:hint="eastAsia" w:ascii="Calibri" w:hAnsi="Calibri" w:eastAsia="宋体" w:cs="Times New Roman"/>
                <w:color w:val="000000"/>
                <w:sz w:val="24"/>
                <w:szCs w:val="20"/>
                <w:highlight w:val="none"/>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202"/>
                <w:tab w:val="left" w:pos="1455"/>
              </w:tabs>
              <w:spacing w:before="0" w:beforeAutospacing="0" w:after="0" w:afterAutospacing="0" w:line="420" w:lineRule="exact"/>
              <w:ind w:left="0"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202"/>
                <w:tab w:val="left" w:pos="1455"/>
              </w:tabs>
              <w:spacing w:before="0" w:beforeAutospacing="0" w:after="0" w:afterAutospacing="0" w:line="420" w:lineRule="exact"/>
              <w:ind w:left="0"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48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202"/>
                <w:tab w:val="left" w:pos="1455"/>
              </w:tabs>
              <w:spacing w:before="0" w:beforeAutospacing="0" w:after="0" w:afterAutospacing="0" w:line="420" w:lineRule="exact"/>
              <w:ind w:left="0"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tabs>
                <w:tab w:val="left" w:pos="1202"/>
                <w:tab w:val="left" w:pos="1455"/>
              </w:tabs>
              <w:spacing w:before="0" w:beforeAutospacing="0" w:after="0" w:afterAutospacing="0" w:line="420" w:lineRule="exact"/>
              <w:ind w:left="0"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c>
          <w:tcPr>
            <w:tcW w:w="2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202"/>
                <w:tab w:val="left" w:pos="1455"/>
              </w:tabs>
              <w:spacing w:before="0" w:beforeAutospacing="0" w:after="0" w:afterAutospacing="0" w:line="420" w:lineRule="exact"/>
              <w:ind w:left="0" w:right="451" w:rightChars="215"/>
              <w:jc w:val="center"/>
              <w:rPr>
                <w:rFonts w:ascii="Calibri" w:hAnsi="Calibri" w:eastAsia="宋体" w:cs="Times New Roman"/>
                <w:color w:val="000000"/>
                <w:sz w:val="24"/>
                <w:szCs w:val="20"/>
                <w:highlight w:val="none"/>
              </w:rPr>
            </w:pPr>
            <w:r>
              <w:rPr>
                <w:rFonts w:hint="eastAsia" w:ascii="Calibri" w:hAnsi="Calibri" w:eastAsia="宋体" w:cs="宋体"/>
                <w:color w:val="000000"/>
                <w:sz w:val="24"/>
                <w:szCs w:val="20"/>
                <w:highlight w:val="none"/>
                <w:shd w:val="clear" w:color="FFFFFF" w:fill="D9D9D9"/>
              </w:rPr>
              <w:fldChar w:fldCharType="begin">
                <w:ffData>
                  <w:enabled/>
                  <w:calcOnExit w:val="0"/>
                  <w:textInput/>
                </w:ffData>
              </w:fldChar>
            </w:r>
            <w:r>
              <w:rPr>
                <w:rFonts w:hint="eastAsia" w:ascii="Calibri" w:hAnsi="Calibri" w:eastAsia="宋体" w:cs="宋体"/>
                <w:color w:val="000000"/>
                <w:sz w:val="24"/>
                <w:szCs w:val="20"/>
                <w:highlight w:val="none"/>
                <w:shd w:val="clear" w:color="FFFFFF" w:fill="D9D9D9"/>
              </w:rPr>
              <w:instrText xml:space="preserve">FORMTEXT</w:instrText>
            </w:r>
            <w:r>
              <w:rPr>
                <w:rFonts w:hint="eastAsia" w:ascii="Calibri" w:hAnsi="Calibri" w:eastAsia="宋体" w:cs="宋体"/>
                <w:color w:val="000000"/>
                <w:sz w:val="24"/>
                <w:szCs w:val="20"/>
                <w:highlight w:val="none"/>
                <w:shd w:val="clear" w:color="FFFFFF" w:fill="D9D9D9"/>
              </w:rPr>
              <w:fldChar w:fldCharType="separate"/>
            </w:r>
            <w:r>
              <w:rPr>
                <w:rFonts w:ascii="Calibri" w:hAnsi="Calibri" w:eastAsia="宋体" w:cs="宋体"/>
                <w:color w:val="000000"/>
                <w:sz w:val="24"/>
                <w:szCs w:val="20"/>
                <w:highlight w:val="none"/>
                <w:shd w:val="clear" w:color="FFFFFF" w:fill="D9D9D9"/>
              </w:rPr>
              <w:t>     </w:t>
            </w:r>
            <w:r>
              <w:rPr>
                <w:rFonts w:hint="eastAsia" w:ascii="Calibri" w:hAnsi="Calibri" w:eastAsia="宋体" w:cs="宋体"/>
                <w:color w:val="000000"/>
                <w:sz w:val="24"/>
                <w:szCs w:val="20"/>
                <w:highlight w:val="none"/>
                <w:shd w:val="clear" w:color="FFFFFF" w:fill="D9D9D9"/>
              </w:rPr>
              <w:fldChar w:fldCharType="end"/>
            </w:r>
          </w:p>
        </w:tc>
      </w:tr>
    </w:tbl>
    <w:p>
      <w:pPr>
        <w:tabs>
          <w:tab w:val="left" w:pos="1455"/>
        </w:tabs>
        <w:spacing w:line="420" w:lineRule="exact"/>
        <w:ind w:left="424" w:leftChars="202" w:right="451" w:rightChars="215" w:firstLine="480" w:firstLineChars="200"/>
        <w:rPr>
          <w:color w:val="000000"/>
          <w:sz w:val="24"/>
          <w:szCs w:val="20"/>
          <w:highlight w:val="none"/>
        </w:rPr>
      </w:pPr>
    </w:p>
    <w:p>
      <w:pPr>
        <w:pStyle w:val="2"/>
        <w:ind w:left="424" w:leftChars="202" w:right="451" w:rightChars="215"/>
        <w:rPr>
          <w:sz w:val="24"/>
          <w:szCs w:val="24"/>
          <w:highlight w:val="none"/>
        </w:rPr>
      </w:pPr>
      <w:r>
        <w:rPr>
          <w:rFonts w:hint="eastAsia"/>
          <w:color w:val="000000"/>
          <w:kern w:val="2"/>
          <w:sz w:val="24"/>
          <w:szCs w:val="20"/>
          <w:highlight w:val="none"/>
        </w:rPr>
        <w:br w:type="page"/>
      </w:r>
      <w:bookmarkStart w:id="68" w:name="_Toc11548"/>
      <w:bookmarkStart w:id="69" w:name="_Toc382240681"/>
      <w:r>
        <w:rPr>
          <w:rFonts w:hint="eastAsia"/>
          <w:sz w:val="24"/>
          <w:szCs w:val="24"/>
          <w:highlight w:val="none"/>
        </w:rPr>
        <w:t>附件七</w:t>
      </w:r>
      <w:r>
        <w:rPr>
          <w:sz w:val="24"/>
          <w:szCs w:val="24"/>
          <w:highlight w:val="none"/>
        </w:rPr>
        <w:t>-2</w:t>
      </w:r>
      <w:r>
        <w:rPr>
          <w:rFonts w:hint="eastAsia"/>
          <w:sz w:val="24"/>
          <w:szCs w:val="24"/>
          <w:highlight w:val="none"/>
        </w:rPr>
        <w:t>：</w:t>
      </w:r>
      <w:bookmarkEnd w:id="68"/>
      <w:bookmarkEnd w:id="69"/>
    </w:p>
    <w:p>
      <w:pPr>
        <w:tabs>
          <w:tab w:val="left" w:pos="1455"/>
        </w:tabs>
        <w:spacing w:line="420" w:lineRule="exact"/>
        <w:ind w:left="424" w:leftChars="202" w:right="451" w:rightChars="215"/>
        <w:jc w:val="center"/>
        <w:rPr>
          <w:b/>
          <w:sz w:val="24"/>
          <w:szCs w:val="20"/>
          <w:highlight w:val="none"/>
        </w:rPr>
      </w:pPr>
      <w:r>
        <w:rPr>
          <w:rFonts w:hint="eastAsia"/>
          <w:b/>
          <w:sz w:val="24"/>
          <w:szCs w:val="20"/>
          <w:highlight w:val="none"/>
        </w:rPr>
        <w:t>业务联系单（中国民生银行股份有限公司）</w:t>
      </w:r>
    </w:p>
    <w:p>
      <w:pPr>
        <w:rPr>
          <w:b/>
          <w:bCs/>
          <w:sz w:val="28"/>
          <w:szCs w:val="28"/>
          <w:highlight w:val="none"/>
        </w:rPr>
      </w:pPr>
      <w:r>
        <w:rPr>
          <w:rFonts w:hint="eastAsia" w:ascii="宋体" w:hAnsi="宋体"/>
          <w:b/>
          <w:highlight w:val="none"/>
        </w:rPr>
        <w:t xml:space="preserve"> </w:t>
      </w:r>
      <w:r>
        <w:rPr>
          <w:rFonts w:hint="eastAsia"/>
          <w:b/>
          <w:bCs/>
          <w:sz w:val="28"/>
          <w:szCs w:val="28"/>
          <w:highlight w:val="none"/>
        </w:rPr>
        <w:t>业务处室：资产托管部运营中心</w:t>
      </w:r>
    </w:p>
    <w:tbl>
      <w:tblPr>
        <w:tblStyle w:val="15"/>
        <w:tblW w:w="8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806"/>
        <w:gridCol w:w="584"/>
        <w:gridCol w:w="1020"/>
        <w:gridCol w:w="646"/>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130"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姓  名</w:t>
            </w:r>
          </w:p>
        </w:tc>
        <w:tc>
          <w:tcPr>
            <w:tcW w:w="2806"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岗位分工</w:t>
            </w:r>
          </w:p>
        </w:tc>
        <w:tc>
          <w:tcPr>
            <w:tcW w:w="2250" w:type="dxa"/>
            <w:gridSpan w:val="3"/>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办公电话</w:t>
            </w:r>
          </w:p>
        </w:tc>
        <w:tc>
          <w:tcPr>
            <w:tcW w:w="1725"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911" w:type="dxa"/>
            <w:gridSpan w:val="6"/>
            <w:shd w:val="clear" w:color="auto" w:fill="D7D7D7"/>
            <w:vAlign w:val="center"/>
          </w:tcPr>
          <w:p>
            <w:pPr>
              <w:keepNext w:val="0"/>
              <w:keepLines w:val="0"/>
              <w:suppressLineNumbers w:val="0"/>
              <w:spacing w:before="0" w:beforeAutospacing="0" w:after="0" w:afterAutospacing="0"/>
              <w:ind w:left="0" w:right="0"/>
              <w:jc w:val="center"/>
              <w:rPr>
                <w:b/>
                <w:bCs/>
                <w:sz w:val="22"/>
                <w:highlight w:val="none"/>
              </w:rPr>
            </w:pPr>
            <w:r>
              <w:rPr>
                <w:rFonts w:hint="eastAsia"/>
                <w:b/>
                <w:bCs/>
                <w:sz w:val="24"/>
                <w:szCs w:val="22"/>
                <w:highlight w:val="none"/>
              </w:rPr>
              <w:t>账 户 业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张  璇</w:t>
            </w:r>
          </w:p>
        </w:tc>
        <w:tc>
          <w:tcPr>
            <w:tcW w:w="2806" w:type="dxa"/>
            <w:vMerge w:val="restart"/>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业务联系人</w:t>
            </w:r>
          </w:p>
        </w:tc>
        <w:tc>
          <w:tcPr>
            <w:tcW w:w="2250" w:type="dxa"/>
            <w:gridSpan w:val="3"/>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010-57092370</w:t>
            </w:r>
          </w:p>
        </w:tc>
        <w:tc>
          <w:tcPr>
            <w:tcW w:w="1725"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13811629395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侯羽思</w:t>
            </w:r>
          </w:p>
        </w:tc>
        <w:tc>
          <w:tcPr>
            <w:tcW w:w="2806" w:type="dxa"/>
            <w:vMerge w:val="continue"/>
            <w:vAlign w:val="center"/>
          </w:tcPr>
          <w:p>
            <w:pPr>
              <w:keepNext w:val="0"/>
              <w:keepLines w:val="0"/>
              <w:suppressLineNumbers w:val="0"/>
              <w:spacing w:before="0" w:beforeAutospacing="0" w:after="0" w:afterAutospacing="0"/>
              <w:ind w:left="0" w:right="0"/>
              <w:jc w:val="center"/>
              <w:rPr>
                <w:b/>
                <w:bCs/>
                <w:color w:val="FF0000"/>
                <w:highlight w:val="none"/>
              </w:rPr>
            </w:pPr>
          </w:p>
        </w:tc>
        <w:tc>
          <w:tcPr>
            <w:tcW w:w="2250" w:type="dxa"/>
            <w:gridSpan w:val="3"/>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010-57092371</w:t>
            </w:r>
          </w:p>
        </w:tc>
        <w:tc>
          <w:tcPr>
            <w:tcW w:w="1725"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13601219900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2130" w:type="dxa"/>
            <w:vAlign w:val="center"/>
          </w:tcPr>
          <w:p>
            <w:pPr>
              <w:keepNext w:val="0"/>
              <w:keepLines w:val="0"/>
              <w:suppressLineNumbers w:val="0"/>
              <w:spacing w:before="0" w:beforeAutospacing="0" w:after="0" w:afterAutospacing="0"/>
              <w:ind w:left="0" w:right="0"/>
              <w:jc w:val="center"/>
              <w:rPr>
                <w:highlight w:val="none"/>
              </w:rPr>
            </w:pPr>
            <w:r>
              <w:rPr>
                <w:rFonts w:hint="eastAsia" w:ascii="宋体" w:hAnsi="宋体"/>
                <w:b/>
                <w:color w:val="000000"/>
                <w:sz w:val="22"/>
                <w:highlight w:val="none"/>
              </w:rPr>
              <w:t>账户咨询办理电话</w:t>
            </w:r>
          </w:p>
        </w:tc>
        <w:tc>
          <w:tcPr>
            <w:tcW w:w="6781" w:type="dxa"/>
            <w:gridSpan w:val="5"/>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010-57092373、010-57092374、010-57092377</w:t>
            </w:r>
            <w:r>
              <w:rPr>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4936" w:type="dxa"/>
            <w:gridSpan w:val="2"/>
            <w:vAlign w:val="center"/>
          </w:tcPr>
          <w:p>
            <w:pPr>
              <w:keepNext w:val="0"/>
              <w:keepLines w:val="0"/>
              <w:suppressLineNumbers w:val="0"/>
              <w:spacing w:before="0" w:beforeAutospacing="0" w:after="0" w:afterAutospacing="0"/>
              <w:ind w:left="0" w:right="0"/>
              <w:jc w:val="center"/>
              <w:rPr>
                <w:b/>
                <w:bCs/>
                <w:highlight w:val="none"/>
              </w:rPr>
            </w:pPr>
            <w:r>
              <w:rPr>
                <w:rFonts w:hint="eastAsia" w:ascii="宋体" w:hAnsi="宋体"/>
                <w:b/>
                <w:color w:val="000000"/>
                <w:sz w:val="22"/>
                <w:highlight w:val="none"/>
              </w:rPr>
              <w:t>账户咨询办理邮箱</w:t>
            </w:r>
          </w:p>
        </w:tc>
        <w:tc>
          <w:tcPr>
            <w:tcW w:w="3975" w:type="dxa"/>
            <w:gridSpan w:val="4"/>
            <w:vAlign w:val="center"/>
          </w:tcPr>
          <w:p>
            <w:pPr>
              <w:keepNext w:val="0"/>
              <w:keepLines w:val="0"/>
              <w:suppressLineNumbers w:val="0"/>
              <w:spacing w:before="0" w:beforeAutospacing="0" w:after="0" w:afterAutospacing="0"/>
              <w:ind w:left="0" w:right="0"/>
              <w:jc w:val="center"/>
              <w:rPr>
                <w:highlight w:val="none"/>
              </w:rPr>
            </w:pPr>
            <w:r>
              <w:rPr>
                <w:highlight w:val="none"/>
              </w:rPr>
              <w:t>tgzh1@cmbc.com.cn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8911" w:type="dxa"/>
            <w:gridSpan w:val="6"/>
            <w:shd w:val="clear" w:color="auto" w:fill="D7D7D7"/>
            <w:vAlign w:val="center"/>
          </w:tcPr>
          <w:p>
            <w:pPr>
              <w:keepNext w:val="0"/>
              <w:keepLines w:val="0"/>
              <w:suppressLineNumbers w:val="0"/>
              <w:spacing w:before="0" w:beforeAutospacing="0" w:after="0" w:afterAutospacing="0"/>
              <w:ind w:left="0" w:right="0"/>
              <w:jc w:val="center"/>
              <w:rPr>
                <w:b/>
                <w:bCs/>
                <w:sz w:val="22"/>
                <w:highlight w:val="none"/>
              </w:rPr>
            </w:pPr>
            <w:r>
              <w:rPr>
                <w:rFonts w:hint="eastAsia"/>
                <w:b/>
                <w:bCs/>
                <w:sz w:val="24"/>
                <w:szCs w:val="22"/>
                <w:highlight w:val="none"/>
              </w:rPr>
              <w:t>清 算 业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冯  昕</w:t>
            </w:r>
          </w:p>
        </w:tc>
        <w:tc>
          <w:tcPr>
            <w:tcW w:w="2806" w:type="dxa"/>
            <w:vAlign w:val="center"/>
          </w:tcPr>
          <w:p>
            <w:pPr>
              <w:keepNext w:val="0"/>
              <w:keepLines w:val="0"/>
              <w:suppressLineNumbers w:val="0"/>
              <w:spacing w:before="0" w:beforeAutospacing="0" w:after="0" w:afterAutospacing="0"/>
              <w:ind w:left="0" w:right="0"/>
              <w:rPr>
                <w:b/>
                <w:bCs/>
                <w:color w:val="FF0000"/>
                <w:highlight w:val="none"/>
              </w:rPr>
            </w:pPr>
            <w:r>
              <w:rPr>
                <w:rFonts w:hint="eastAsia"/>
                <w:b/>
                <w:bCs/>
                <w:highlight w:val="none"/>
              </w:rPr>
              <w:t>业务总联系</w:t>
            </w:r>
            <w:r>
              <w:rPr>
                <w:rFonts w:hint="eastAsia"/>
                <w:b/>
                <w:bCs/>
                <w:color w:val="auto"/>
                <w:highlight w:val="none"/>
              </w:rPr>
              <w:t>（紧急联系人）</w:t>
            </w:r>
          </w:p>
        </w:tc>
        <w:tc>
          <w:tcPr>
            <w:tcW w:w="2250" w:type="dxa"/>
            <w:gridSpan w:val="3"/>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010-58560666-8611</w:t>
            </w:r>
          </w:p>
        </w:tc>
        <w:tc>
          <w:tcPr>
            <w:tcW w:w="1725"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18600555897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911" w:type="dxa"/>
            <w:gridSpan w:val="6"/>
            <w:shd w:val="clear" w:color="auto" w:fill="FFFFFF"/>
            <w:vAlign w:val="center"/>
          </w:tcPr>
          <w:p>
            <w:pPr>
              <w:keepNext w:val="0"/>
              <w:keepLines w:val="0"/>
              <w:suppressLineNumbers w:val="0"/>
              <w:spacing w:before="0" w:beforeAutospacing="0" w:after="0" w:afterAutospacing="0"/>
              <w:ind w:left="0" w:right="0"/>
              <w:jc w:val="center"/>
              <w:rPr>
                <w:highlight w:val="none"/>
              </w:rPr>
            </w:pPr>
            <w:r>
              <w:rPr>
                <w:rFonts w:hint="eastAsia"/>
                <w:b/>
                <w:bCs/>
                <w:sz w:val="24"/>
                <w:szCs w:val="22"/>
                <w:highlight w:val="none"/>
              </w:rPr>
              <w:t>清算业务-指令管理组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王  丹</w:t>
            </w:r>
          </w:p>
        </w:tc>
        <w:tc>
          <w:tcPr>
            <w:tcW w:w="2806" w:type="dxa"/>
            <w:vMerge w:val="restart"/>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小组联系人</w:t>
            </w:r>
          </w:p>
        </w:tc>
        <w:tc>
          <w:tcPr>
            <w:tcW w:w="2250" w:type="dxa"/>
            <w:gridSpan w:val="3"/>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010-58560666-8642</w:t>
            </w:r>
          </w:p>
        </w:tc>
        <w:tc>
          <w:tcPr>
            <w:tcW w:w="1725"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15811391210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130" w:type="dxa"/>
            <w:vAlign w:val="center"/>
          </w:tcPr>
          <w:p>
            <w:pPr>
              <w:keepNext w:val="0"/>
              <w:keepLines w:val="0"/>
              <w:suppressLineNumbers w:val="0"/>
              <w:spacing w:before="0" w:beforeAutospacing="0" w:after="0" w:afterAutospacing="0"/>
              <w:ind w:left="0" w:right="0"/>
              <w:jc w:val="center"/>
              <w:rPr>
                <w:highlight w:val="none"/>
              </w:rPr>
            </w:pPr>
            <w:r>
              <w:rPr>
                <w:rFonts w:hint="eastAsia"/>
                <w:b/>
                <w:bCs/>
                <w:highlight w:val="none"/>
              </w:rPr>
              <w:t>刘  雯</w:t>
            </w:r>
          </w:p>
        </w:tc>
        <w:tc>
          <w:tcPr>
            <w:tcW w:w="2806" w:type="dxa"/>
            <w:vMerge w:val="continue"/>
            <w:vAlign w:val="center"/>
          </w:tcPr>
          <w:p>
            <w:pPr>
              <w:keepNext w:val="0"/>
              <w:keepLines w:val="0"/>
              <w:suppressLineNumbers w:val="0"/>
              <w:spacing w:before="0" w:beforeAutospacing="0" w:after="0" w:afterAutospacing="0"/>
              <w:ind w:left="0" w:right="0"/>
              <w:jc w:val="center"/>
              <w:rPr>
                <w:highlight w:val="none"/>
              </w:rPr>
            </w:pPr>
          </w:p>
        </w:tc>
        <w:tc>
          <w:tcPr>
            <w:tcW w:w="2250" w:type="dxa"/>
            <w:gridSpan w:val="3"/>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010-58560666-8923</w:t>
            </w:r>
          </w:p>
        </w:tc>
        <w:tc>
          <w:tcPr>
            <w:tcW w:w="1725"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18610091820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指令发送传真</w:t>
            </w:r>
          </w:p>
          <w:p>
            <w:pPr>
              <w:keepNext w:val="0"/>
              <w:keepLines w:val="0"/>
              <w:suppressLineNumbers w:val="0"/>
              <w:spacing w:before="0" w:beforeAutospacing="0" w:after="0" w:afterAutospacing="0"/>
              <w:ind w:left="0" w:right="0"/>
              <w:jc w:val="center"/>
              <w:rPr>
                <w:highlight w:val="none"/>
              </w:rPr>
            </w:pPr>
          </w:p>
        </w:tc>
        <w:tc>
          <w:tcPr>
            <w:tcW w:w="6781" w:type="dxa"/>
            <w:gridSpan w:val="5"/>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010-56368300，010-56368301，010-56368302，010-56368303，</w:t>
            </w:r>
          </w:p>
          <w:p>
            <w:pPr>
              <w:keepNext w:val="0"/>
              <w:keepLines w:val="0"/>
              <w:suppressLineNumbers w:val="0"/>
              <w:spacing w:before="0" w:beforeAutospacing="0" w:after="0" w:afterAutospacing="0"/>
              <w:ind w:left="0" w:right="0"/>
              <w:jc w:val="center"/>
              <w:rPr>
                <w:highlight w:val="none"/>
              </w:rPr>
            </w:pPr>
            <w:r>
              <w:rPr>
                <w:rFonts w:hint="eastAsia"/>
                <w:highlight w:val="none"/>
              </w:rPr>
              <w:t>010-56368304，010-56368305，010-56368305，010-56368307，</w:t>
            </w:r>
          </w:p>
          <w:p>
            <w:pPr>
              <w:keepNext w:val="0"/>
              <w:keepLines w:val="0"/>
              <w:suppressLineNumbers w:val="0"/>
              <w:spacing w:before="0" w:beforeAutospacing="0" w:after="0" w:afterAutospacing="0"/>
              <w:ind w:left="0" w:right="0"/>
              <w:jc w:val="center"/>
              <w:rPr>
                <w:highlight w:val="none"/>
              </w:rPr>
            </w:pPr>
            <w:r>
              <w:rPr>
                <w:rFonts w:hint="eastAsia"/>
                <w:highlight w:val="none"/>
              </w:rPr>
              <w:t>010-56368308，010-56368309，010-56368310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4936" w:type="dxa"/>
            <w:gridSpan w:val="2"/>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指令发送邮箱</w:t>
            </w:r>
          </w:p>
        </w:tc>
        <w:tc>
          <w:tcPr>
            <w:tcW w:w="3975" w:type="dxa"/>
            <w:gridSpan w:val="4"/>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mstgqingsuan@cmbc.com.cn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936" w:type="dxa"/>
            <w:gridSpan w:val="2"/>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指令附件发送邮箱</w:t>
            </w:r>
          </w:p>
        </w:tc>
        <w:tc>
          <w:tcPr>
            <w:tcW w:w="3975" w:type="dxa"/>
            <w:gridSpan w:val="4"/>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mstgqingsuan1@cmbc.com.cn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4936" w:type="dxa"/>
            <w:gridSpan w:val="2"/>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指令确认</w:t>
            </w:r>
          </w:p>
        </w:tc>
        <w:tc>
          <w:tcPr>
            <w:tcW w:w="3975" w:type="dxa"/>
            <w:gridSpan w:val="4"/>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010-58560666-8394/8758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36" w:type="dxa"/>
            <w:gridSpan w:val="2"/>
            <w:vAlign w:val="center"/>
          </w:tcPr>
          <w:p>
            <w:pPr>
              <w:keepNext w:val="0"/>
              <w:keepLines w:val="0"/>
              <w:suppressLineNumbers w:val="0"/>
              <w:spacing w:before="0" w:beforeAutospacing="0" w:after="0" w:afterAutospacing="0"/>
              <w:ind w:left="0" w:right="0"/>
              <w:jc w:val="center"/>
              <w:rPr>
                <w:highlight w:val="none"/>
              </w:rPr>
            </w:pPr>
            <w:r>
              <w:rPr>
                <w:rFonts w:hint="eastAsia"/>
                <w:b/>
                <w:bCs/>
                <w:highlight w:val="none"/>
              </w:rPr>
              <w:t>产品成立资料提交</w:t>
            </w:r>
          </w:p>
        </w:tc>
        <w:tc>
          <w:tcPr>
            <w:tcW w:w="3975" w:type="dxa"/>
            <w:gridSpan w:val="4"/>
            <w:vMerge w:val="restart"/>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010-58560700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4936" w:type="dxa"/>
            <w:gridSpan w:val="2"/>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年金缴费及待遇支付</w:t>
            </w:r>
          </w:p>
        </w:tc>
        <w:tc>
          <w:tcPr>
            <w:tcW w:w="3975" w:type="dxa"/>
            <w:gridSpan w:val="4"/>
            <w:vMerge w:val="continue"/>
            <w:vAlign w:val="center"/>
          </w:tcPr>
          <w:p>
            <w:pPr>
              <w:keepNext w:val="0"/>
              <w:keepLines w:val="0"/>
              <w:suppressLineNumbers w:val="0"/>
              <w:spacing w:before="0" w:beforeAutospacing="0" w:after="0" w:afterAutospacing="0"/>
              <w:ind w:left="0" w:right="0"/>
              <w:jc w:val="left"/>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4936" w:type="dxa"/>
            <w:gridSpan w:val="2"/>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指令执行情况/账户流水/余额查询</w:t>
            </w:r>
          </w:p>
        </w:tc>
        <w:tc>
          <w:tcPr>
            <w:tcW w:w="3975" w:type="dxa"/>
            <w:gridSpan w:val="4"/>
            <w:vMerge w:val="continue"/>
            <w:vAlign w:val="center"/>
          </w:tcPr>
          <w:p>
            <w:pPr>
              <w:keepNext w:val="0"/>
              <w:keepLines w:val="0"/>
              <w:suppressLineNumbers w:val="0"/>
              <w:spacing w:before="0" w:beforeAutospacing="0" w:after="0" w:afterAutospacing="0"/>
              <w:ind w:left="0" w:right="0"/>
              <w:jc w:val="left"/>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911" w:type="dxa"/>
            <w:gridSpan w:val="6"/>
            <w:shd w:val="clear" w:color="auto" w:fill="FFFFFF"/>
            <w:vAlign w:val="center"/>
          </w:tcPr>
          <w:p>
            <w:pPr>
              <w:keepNext w:val="0"/>
              <w:keepLines w:val="0"/>
              <w:suppressLineNumbers w:val="0"/>
              <w:spacing w:before="0" w:beforeAutospacing="0" w:after="0" w:afterAutospacing="0"/>
              <w:ind w:left="0" w:right="0"/>
              <w:jc w:val="center"/>
              <w:rPr>
                <w:sz w:val="24"/>
                <w:szCs w:val="22"/>
                <w:highlight w:val="none"/>
              </w:rPr>
            </w:pPr>
            <w:r>
              <w:rPr>
                <w:rFonts w:hint="eastAsia"/>
                <w:b/>
                <w:bCs/>
                <w:sz w:val="24"/>
                <w:szCs w:val="22"/>
                <w:highlight w:val="none"/>
              </w:rPr>
              <w:t>清算业务-证券结算组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郭  娟</w:t>
            </w:r>
          </w:p>
        </w:tc>
        <w:tc>
          <w:tcPr>
            <w:tcW w:w="2806" w:type="dxa"/>
            <w:vMerge w:val="restart"/>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小组联系人</w:t>
            </w:r>
          </w:p>
        </w:tc>
        <w:tc>
          <w:tcPr>
            <w:tcW w:w="2250" w:type="dxa"/>
            <w:gridSpan w:val="3"/>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010-58560666-8745</w:t>
            </w:r>
          </w:p>
        </w:tc>
        <w:tc>
          <w:tcPr>
            <w:tcW w:w="1725"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18211191750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史慧杰</w:t>
            </w:r>
          </w:p>
        </w:tc>
        <w:tc>
          <w:tcPr>
            <w:tcW w:w="2806" w:type="dxa"/>
            <w:vMerge w:val="continue"/>
            <w:vAlign w:val="center"/>
          </w:tcPr>
          <w:p>
            <w:pPr>
              <w:keepNext w:val="0"/>
              <w:keepLines w:val="0"/>
              <w:suppressLineNumbers w:val="0"/>
              <w:spacing w:before="0" w:beforeAutospacing="0" w:after="0" w:afterAutospacing="0"/>
              <w:ind w:left="0" w:right="0"/>
              <w:jc w:val="center"/>
              <w:rPr>
                <w:b/>
                <w:bCs/>
                <w:highlight w:val="none"/>
              </w:rPr>
            </w:pPr>
          </w:p>
        </w:tc>
        <w:tc>
          <w:tcPr>
            <w:tcW w:w="2250" w:type="dxa"/>
            <w:gridSpan w:val="3"/>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010-58560785</w:t>
            </w:r>
          </w:p>
        </w:tc>
        <w:tc>
          <w:tcPr>
            <w:tcW w:w="1725"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18701382875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朱远遥、王照涵</w:t>
            </w:r>
          </w:p>
        </w:tc>
        <w:tc>
          <w:tcPr>
            <w:tcW w:w="2806"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银行间业务</w:t>
            </w:r>
          </w:p>
        </w:tc>
        <w:tc>
          <w:tcPr>
            <w:tcW w:w="3975" w:type="dxa"/>
            <w:gridSpan w:val="4"/>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010-58560757、010-52667880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2130" w:type="dxa"/>
            <w:vMerge w:val="restart"/>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史慧杰、朱远遥</w:t>
            </w:r>
          </w:p>
        </w:tc>
        <w:tc>
          <w:tcPr>
            <w:tcW w:w="2806"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定期存款业务</w:t>
            </w:r>
          </w:p>
        </w:tc>
        <w:tc>
          <w:tcPr>
            <w:tcW w:w="3975" w:type="dxa"/>
            <w:gridSpan w:val="4"/>
            <w:vMerge w:val="restart"/>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010-58560785、010-58560757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130" w:type="dxa"/>
            <w:vMerge w:val="continue"/>
            <w:vAlign w:val="center"/>
          </w:tcPr>
          <w:p>
            <w:pPr>
              <w:keepNext w:val="0"/>
              <w:keepLines w:val="0"/>
              <w:suppressLineNumbers w:val="0"/>
              <w:spacing w:before="0" w:beforeAutospacing="0" w:after="0" w:afterAutospacing="0"/>
              <w:ind w:left="0" w:right="0"/>
              <w:jc w:val="left"/>
              <w:rPr>
                <w:highlight w:val="none"/>
              </w:rPr>
            </w:pPr>
          </w:p>
        </w:tc>
        <w:tc>
          <w:tcPr>
            <w:tcW w:w="2806"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资金支付业务</w:t>
            </w:r>
          </w:p>
        </w:tc>
        <w:tc>
          <w:tcPr>
            <w:tcW w:w="3975" w:type="dxa"/>
            <w:gridSpan w:val="4"/>
            <w:vMerge w:val="continue"/>
            <w:vAlign w:val="center"/>
          </w:tcPr>
          <w:p>
            <w:pPr>
              <w:keepNext w:val="0"/>
              <w:keepLines w:val="0"/>
              <w:suppressLineNumbers w:val="0"/>
              <w:spacing w:before="0" w:beforeAutospacing="0" w:after="0" w:afterAutospacing="0"/>
              <w:ind w:left="0" w:right="0"/>
              <w:jc w:val="left"/>
              <w:rPr>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911" w:type="dxa"/>
            <w:gridSpan w:val="6"/>
            <w:tcBorders>
              <w:bottom w:val="single" w:color="auto" w:sz="4" w:space="0"/>
            </w:tcBorders>
            <w:shd w:val="clear" w:color="auto" w:fill="D7D7D7"/>
            <w:vAlign w:val="center"/>
          </w:tcPr>
          <w:p>
            <w:pPr>
              <w:keepNext w:val="0"/>
              <w:keepLines w:val="0"/>
              <w:suppressLineNumbers w:val="0"/>
              <w:spacing w:before="0" w:beforeAutospacing="0" w:after="0" w:afterAutospacing="0"/>
              <w:ind w:left="0" w:right="0"/>
              <w:jc w:val="center"/>
              <w:rPr>
                <w:b/>
                <w:bCs/>
                <w:sz w:val="22"/>
                <w:highlight w:val="none"/>
              </w:rPr>
            </w:pPr>
            <w:r>
              <w:rPr>
                <w:rFonts w:hint="eastAsia"/>
                <w:b/>
                <w:bCs/>
                <w:sz w:val="24"/>
                <w:szCs w:val="22"/>
                <w:highlight w:val="none"/>
              </w:rPr>
              <w:t>核 算 业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8911" w:type="dxa"/>
            <w:gridSpan w:val="6"/>
            <w:shd w:val="clear" w:color="auto" w:fill="FFFFFF"/>
            <w:vAlign w:val="center"/>
          </w:tcPr>
          <w:p>
            <w:pPr>
              <w:keepNext w:val="0"/>
              <w:keepLines w:val="0"/>
              <w:suppressLineNumbers w:val="0"/>
              <w:spacing w:before="0" w:beforeAutospacing="0" w:after="0" w:afterAutospacing="0"/>
              <w:ind w:left="0" w:right="0"/>
              <w:jc w:val="center"/>
              <w:rPr>
                <w:b/>
                <w:bCs/>
                <w:sz w:val="24"/>
                <w:szCs w:val="22"/>
                <w:highlight w:val="none"/>
              </w:rPr>
            </w:pPr>
            <w:r>
              <w:rPr>
                <w:rFonts w:hint="eastAsia"/>
                <w:b/>
                <w:bCs/>
                <w:sz w:val="24"/>
                <w:szCs w:val="22"/>
                <w:highlight w:val="none"/>
              </w:rPr>
              <w:t>核算业务-产品上线/交易维护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殷  哲</w:t>
            </w:r>
          </w:p>
        </w:tc>
        <w:tc>
          <w:tcPr>
            <w:tcW w:w="2806" w:type="dxa"/>
            <w:tcBorders>
              <w:right w:val="single" w:color="auto" w:sz="4" w:space="0"/>
            </w:tcBorders>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新产品上线联系人</w:t>
            </w:r>
          </w:p>
        </w:tc>
        <w:tc>
          <w:tcPr>
            <w:tcW w:w="2250" w:type="dxa"/>
            <w:gridSpan w:val="3"/>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010-58560666-9535</w:t>
            </w:r>
          </w:p>
        </w:tc>
        <w:tc>
          <w:tcPr>
            <w:tcW w:w="1725" w:type="dxa"/>
            <w:tcBorders>
              <w:left w:val="single" w:color="auto" w:sz="4" w:space="0"/>
            </w:tcBorders>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13811763670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田绪运</w:t>
            </w:r>
          </w:p>
        </w:tc>
        <w:tc>
          <w:tcPr>
            <w:tcW w:w="2806" w:type="dxa"/>
            <w:tcBorders>
              <w:right w:val="single" w:color="auto" w:sz="4" w:space="0"/>
            </w:tcBorders>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交易维护联系人</w:t>
            </w:r>
          </w:p>
        </w:tc>
        <w:tc>
          <w:tcPr>
            <w:tcW w:w="2250" w:type="dxa"/>
            <w:gridSpan w:val="3"/>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010-57093127</w:t>
            </w:r>
          </w:p>
        </w:tc>
        <w:tc>
          <w:tcPr>
            <w:tcW w:w="1725" w:type="dxa"/>
            <w:tcBorders>
              <w:left w:val="single" w:color="auto" w:sz="4" w:space="0"/>
            </w:tcBorders>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13581803264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2130" w:type="dxa"/>
            <w:vMerge w:val="restart"/>
            <w:tcBorders>
              <w:right w:val="single" w:color="auto" w:sz="4" w:space="0"/>
            </w:tcBorders>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交易数据接收</w:t>
            </w:r>
          </w:p>
        </w:tc>
        <w:tc>
          <w:tcPr>
            <w:tcW w:w="4410" w:type="dxa"/>
            <w:gridSpan w:val="3"/>
            <w:vAlign w:val="center"/>
          </w:tcPr>
          <w:p>
            <w:pPr>
              <w:keepNext w:val="0"/>
              <w:keepLines w:val="0"/>
              <w:suppressLineNumbers w:val="0"/>
              <w:spacing w:before="0" w:beforeAutospacing="0" w:after="0" w:afterAutospacing="0"/>
              <w:ind w:left="0" w:right="0"/>
              <w:jc w:val="center"/>
              <w:rPr>
                <w:b/>
                <w:highlight w:val="none"/>
              </w:rPr>
            </w:pPr>
            <w:r>
              <w:rPr>
                <w:rFonts w:hint="eastAsia"/>
                <w:b/>
                <w:bCs/>
                <w:highlight w:val="none"/>
              </w:rPr>
              <w:t>深证通</w:t>
            </w:r>
          </w:p>
        </w:tc>
        <w:tc>
          <w:tcPr>
            <w:tcW w:w="2371" w:type="dxa"/>
            <w:gridSpan w:val="2"/>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小站号</w:t>
            </w:r>
            <w:r>
              <w:rPr>
                <w:highlight w:val="none"/>
              </w:rPr>
              <w:t>k0241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2130" w:type="dxa"/>
            <w:vMerge w:val="continue"/>
            <w:tcBorders>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b/>
                <w:bCs/>
                <w:highlight w:val="none"/>
              </w:rPr>
            </w:pPr>
          </w:p>
        </w:tc>
        <w:tc>
          <w:tcPr>
            <w:tcW w:w="4410" w:type="dxa"/>
            <w:gridSpan w:val="3"/>
            <w:tcBorders>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b/>
                <w:highlight w:val="none"/>
              </w:rPr>
            </w:pPr>
            <w:r>
              <w:rPr>
                <w:rFonts w:hint="eastAsia"/>
                <w:b/>
                <w:bCs/>
                <w:highlight w:val="none"/>
              </w:rPr>
              <w:t>邮  箱</w:t>
            </w:r>
            <w:r>
              <w:rPr>
                <w:rFonts w:hint="eastAsia"/>
                <w:b/>
                <w:highlight w:val="none"/>
              </w:rPr>
              <w:t>（仅用于紧急情况）</w:t>
            </w:r>
          </w:p>
        </w:tc>
        <w:tc>
          <w:tcPr>
            <w:tcW w:w="2371" w:type="dxa"/>
            <w:gridSpan w:val="2"/>
            <w:tcBorders>
              <w:bottom w:val="single" w:color="auto" w:sz="4" w:space="0"/>
            </w:tcBorders>
            <w:vAlign w:val="center"/>
          </w:tcPr>
          <w:p>
            <w:pPr>
              <w:keepNext w:val="0"/>
              <w:keepLines w:val="0"/>
              <w:suppressLineNumbers w:val="0"/>
              <w:autoSpaceDE w:val="0"/>
              <w:autoSpaceDN w:val="0"/>
              <w:spacing w:before="0" w:beforeAutospacing="0" w:after="0" w:afterAutospacing="0"/>
              <w:ind w:left="0" w:right="0"/>
              <w:jc w:val="center"/>
              <w:rPr>
                <w:highlight w:val="none"/>
              </w:rPr>
            </w:pPr>
            <w:r>
              <w:rPr>
                <w:highlight w:val="none"/>
              </w:rPr>
              <w:t>custody@cmbc.com.cn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8911" w:type="dxa"/>
            <w:gridSpan w:val="6"/>
            <w:shd w:val="clear" w:color="auto" w:fill="FFFFFF"/>
            <w:vAlign w:val="center"/>
          </w:tcPr>
          <w:p>
            <w:pPr>
              <w:keepNext w:val="0"/>
              <w:keepLines w:val="0"/>
              <w:suppressLineNumbers w:val="0"/>
              <w:spacing w:before="0" w:beforeAutospacing="0" w:after="0" w:afterAutospacing="0"/>
              <w:ind w:left="0" w:right="0"/>
              <w:jc w:val="center"/>
              <w:rPr>
                <w:highlight w:val="none"/>
              </w:rPr>
            </w:pPr>
            <w:r>
              <w:rPr>
                <w:rFonts w:hint="eastAsia"/>
                <w:b/>
                <w:bCs/>
                <w:sz w:val="24"/>
                <w:szCs w:val="22"/>
                <w:highlight w:val="none"/>
              </w:rPr>
              <w:t>核算业务-业务处理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马自立</w:t>
            </w:r>
          </w:p>
        </w:tc>
        <w:tc>
          <w:tcPr>
            <w:tcW w:w="2806" w:type="dxa"/>
            <w:vMerge w:val="restart"/>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估值对账联系人</w:t>
            </w:r>
          </w:p>
        </w:tc>
        <w:tc>
          <w:tcPr>
            <w:tcW w:w="2250" w:type="dxa"/>
            <w:gridSpan w:val="3"/>
            <w:tcBorders>
              <w:top w:val="single" w:color="auto" w:sz="4" w:space="0"/>
            </w:tcBorders>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010-57093107</w:t>
            </w:r>
          </w:p>
        </w:tc>
        <w:tc>
          <w:tcPr>
            <w:tcW w:w="1725"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15210893751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130"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王婷婷</w:t>
            </w:r>
          </w:p>
        </w:tc>
        <w:tc>
          <w:tcPr>
            <w:tcW w:w="2806" w:type="dxa"/>
            <w:vMerge w:val="continue"/>
            <w:vAlign w:val="center"/>
          </w:tcPr>
          <w:p>
            <w:pPr>
              <w:keepNext w:val="0"/>
              <w:keepLines w:val="0"/>
              <w:suppressLineNumbers w:val="0"/>
              <w:spacing w:before="0" w:beforeAutospacing="0" w:after="0" w:afterAutospacing="0"/>
              <w:ind w:left="0" w:right="0"/>
              <w:jc w:val="center"/>
              <w:rPr>
                <w:b/>
                <w:bCs/>
                <w:color w:val="FF0000"/>
                <w:highlight w:val="none"/>
              </w:rPr>
            </w:pPr>
          </w:p>
        </w:tc>
        <w:tc>
          <w:tcPr>
            <w:tcW w:w="2250" w:type="dxa"/>
            <w:gridSpan w:val="3"/>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010-57093458</w:t>
            </w:r>
          </w:p>
        </w:tc>
        <w:tc>
          <w:tcPr>
            <w:tcW w:w="1725"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13681161013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0" w:type="dxa"/>
            <w:vMerge w:val="restart"/>
            <w:vAlign w:val="center"/>
          </w:tcPr>
          <w:p>
            <w:pPr>
              <w:keepNext w:val="0"/>
              <w:keepLines w:val="0"/>
              <w:suppressLineNumbers w:val="0"/>
              <w:spacing w:before="0" w:beforeAutospacing="0" w:after="0" w:afterAutospacing="0"/>
              <w:ind w:left="0" w:right="0"/>
              <w:jc w:val="center"/>
              <w:rPr>
                <w:rFonts w:ascii="宋体" w:hAnsi="宋体"/>
                <w:b/>
                <w:color w:val="000000"/>
                <w:sz w:val="22"/>
                <w:highlight w:val="none"/>
              </w:rPr>
            </w:pPr>
            <w:r>
              <w:rPr>
                <w:rFonts w:hint="eastAsia" w:ascii="宋体" w:hAnsi="宋体"/>
                <w:b/>
                <w:color w:val="000000"/>
                <w:sz w:val="22"/>
                <w:highlight w:val="none"/>
              </w:rPr>
              <w:t>对账单/核算报表</w:t>
            </w:r>
          </w:p>
          <w:p>
            <w:pPr>
              <w:keepNext w:val="0"/>
              <w:keepLines w:val="0"/>
              <w:suppressLineNumbers w:val="0"/>
              <w:spacing w:before="0" w:beforeAutospacing="0" w:after="0" w:afterAutospacing="0"/>
              <w:ind w:left="0" w:right="0"/>
              <w:jc w:val="center"/>
              <w:rPr>
                <w:highlight w:val="none"/>
              </w:rPr>
            </w:pPr>
            <w:r>
              <w:rPr>
                <w:rFonts w:hint="eastAsia" w:ascii="宋体" w:hAnsi="宋体"/>
                <w:b/>
                <w:color w:val="000000"/>
                <w:sz w:val="22"/>
                <w:highlight w:val="none"/>
              </w:rPr>
              <w:t>接收</w:t>
            </w:r>
          </w:p>
        </w:tc>
        <w:tc>
          <w:tcPr>
            <w:tcW w:w="3390" w:type="dxa"/>
            <w:gridSpan w:val="2"/>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传  真</w:t>
            </w:r>
          </w:p>
        </w:tc>
        <w:tc>
          <w:tcPr>
            <w:tcW w:w="3391" w:type="dxa"/>
            <w:gridSpan w:val="3"/>
            <w:vAlign w:val="center"/>
          </w:tcPr>
          <w:p>
            <w:pPr>
              <w:keepNext w:val="0"/>
              <w:keepLines w:val="0"/>
              <w:suppressLineNumbers w:val="0"/>
              <w:autoSpaceDE w:val="0"/>
              <w:autoSpaceDN w:val="0"/>
              <w:spacing w:before="0" w:beforeAutospacing="0" w:after="0" w:afterAutospacing="0"/>
              <w:ind w:left="0" w:right="0"/>
              <w:jc w:val="center"/>
              <w:rPr>
                <w:highlight w:val="none"/>
              </w:rPr>
            </w:pPr>
            <w:r>
              <w:rPr>
                <w:rFonts w:hint="eastAsia"/>
                <w:highlight w:val="none"/>
              </w:rPr>
              <w:t>010-56368340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30" w:type="dxa"/>
            <w:vMerge w:val="continue"/>
            <w:vAlign w:val="center"/>
          </w:tcPr>
          <w:p>
            <w:pPr>
              <w:keepNext w:val="0"/>
              <w:keepLines w:val="0"/>
              <w:suppressLineNumbers w:val="0"/>
              <w:spacing w:before="0" w:beforeAutospacing="0" w:after="0" w:afterAutospacing="0"/>
              <w:ind w:left="0" w:right="0"/>
              <w:jc w:val="center"/>
              <w:rPr>
                <w:b/>
                <w:bCs/>
                <w:highlight w:val="none"/>
              </w:rPr>
            </w:pPr>
          </w:p>
        </w:tc>
        <w:tc>
          <w:tcPr>
            <w:tcW w:w="3390" w:type="dxa"/>
            <w:gridSpan w:val="2"/>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邮  箱</w:t>
            </w:r>
          </w:p>
        </w:tc>
        <w:tc>
          <w:tcPr>
            <w:tcW w:w="3391" w:type="dxa"/>
            <w:gridSpan w:val="3"/>
            <w:vAlign w:val="center"/>
          </w:tcPr>
          <w:p>
            <w:pPr>
              <w:keepNext w:val="0"/>
              <w:keepLines w:val="0"/>
              <w:suppressLineNumbers w:val="0"/>
              <w:autoSpaceDE w:val="0"/>
              <w:autoSpaceDN w:val="0"/>
              <w:spacing w:before="0" w:beforeAutospacing="0" w:after="0" w:afterAutospacing="0"/>
              <w:ind w:left="0" w:right="0"/>
              <w:jc w:val="center"/>
              <w:rPr>
                <w:highlight w:val="none"/>
              </w:rPr>
            </w:pPr>
            <w:r>
              <w:rPr>
                <w:rFonts w:hint="eastAsia"/>
                <w:highlight w:val="none"/>
              </w:rPr>
              <w:fldChar w:fldCharType="begin"/>
            </w:r>
            <w:r>
              <w:rPr>
                <w:rFonts w:hint="eastAsia"/>
                <w:highlight w:val="none"/>
              </w:rPr>
              <w:instrText xml:space="preserve"> HYPERLINK "mailto:mstghesuan@cmbc.com.cn" </w:instrText>
            </w:r>
            <w:r>
              <w:rPr>
                <w:rFonts w:hint="eastAsia"/>
                <w:highlight w:val="none"/>
              </w:rPr>
              <w:fldChar w:fldCharType="separate"/>
            </w:r>
            <w:r>
              <w:rPr>
                <w:rFonts w:hint="eastAsia"/>
                <w:highlight w:val="none"/>
              </w:rPr>
              <w:t>mstghesuan@cmbc.com.cn</w:t>
            </w:r>
            <w:r>
              <w:rPr>
                <w:rFonts w:hint="eastAsia"/>
                <w:highlight w:val="none"/>
              </w:rPr>
              <w:fldChar w:fldCharType="end"/>
            </w:r>
          </w:p>
        </w:tc>
      </w:tr>
    </w:tbl>
    <w:p>
      <w:pPr>
        <w:widowControl/>
        <w:spacing w:line="300" w:lineRule="auto"/>
        <w:ind w:right="-312" w:rightChars="-149"/>
        <w:jc w:val="left"/>
        <w:rPr>
          <w:sz w:val="24"/>
          <w:highlight w:val="none"/>
        </w:rPr>
      </w:pPr>
      <w:r>
        <w:rPr>
          <w:rFonts w:hint="eastAsia"/>
          <w:sz w:val="24"/>
          <w:highlight w:val="none"/>
        </w:rPr>
        <w:t>注：</w:t>
      </w:r>
      <w:r>
        <w:rPr>
          <w:sz w:val="24"/>
          <w:highlight w:val="none"/>
        </w:rPr>
        <w:t>1</w:t>
      </w:r>
      <w:r>
        <w:rPr>
          <w:rFonts w:hint="eastAsia"/>
          <w:sz w:val="24"/>
          <w:highlight w:val="none"/>
        </w:rPr>
        <w:t>、所有数据请压缩成压缩包，文件命名格式为【产品名称</w:t>
      </w:r>
      <w:r>
        <w:rPr>
          <w:sz w:val="24"/>
          <w:highlight w:val="none"/>
        </w:rPr>
        <w:t>yyyymmdd.rar/zip</w:t>
      </w:r>
      <w:r>
        <w:rPr>
          <w:rFonts w:hint="eastAsia"/>
          <w:sz w:val="24"/>
          <w:highlight w:val="none"/>
        </w:rPr>
        <w:t>】，其中</w:t>
      </w:r>
      <w:r>
        <w:rPr>
          <w:sz w:val="24"/>
          <w:highlight w:val="none"/>
        </w:rPr>
        <w:t>yyyymmdd</w:t>
      </w:r>
      <w:r>
        <w:rPr>
          <w:rFonts w:hint="eastAsia"/>
          <w:sz w:val="24"/>
          <w:highlight w:val="none"/>
        </w:rPr>
        <w:t>为</w:t>
      </w:r>
      <w:r>
        <w:rPr>
          <w:sz w:val="24"/>
          <w:highlight w:val="none"/>
        </w:rPr>
        <w:t>8</w:t>
      </w:r>
      <w:r>
        <w:rPr>
          <w:rFonts w:hint="eastAsia"/>
          <w:sz w:val="24"/>
          <w:highlight w:val="none"/>
        </w:rPr>
        <w:t>位数日期，数据表示交易日期。</w:t>
      </w:r>
    </w:p>
    <w:p>
      <w:pPr>
        <w:widowControl/>
        <w:spacing w:line="300" w:lineRule="auto"/>
        <w:ind w:right="-312" w:rightChars="-149" w:firstLine="480" w:firstLineChars="200"/>
        <w:jc w:val="left"/>
        <w:rPr>
          <w:sz w:val="24"/>
          <w:highlight w:val="none"/>
        </w:rPr>
      </w:pPr>
      <w:r>
        <w:rPr>
          <w:rFonts w:hint="eastAsia"/>
          <w:sz w:val="24"/>
          <w:highlight w:val="none"/>
        </w:rPr>
        <w:t>2、对账单如选择邮箱发送邮件名称为【对账单</w:t>
      </w:r>
      <w:r>
        <w:rPr>
          <w:sz w:val="24"/>
          <w:highlight w:val="none"/>
        </w:rPr>
        <w:t>-</w:t>
      </w:r>
      <w:r>
        <w:rPr>
          <w:rFonts w:hint="eastAsia"/>
          <w:sz w:val="24"/>
          <w:highlight w:val="none"/>
        </w:rPr>
        <w:t>产品名称</w:t>
      </w:r>
      <w:r>
        <w:rPr>
          <w:sz w:val="24"/>
          <w:highlight w:val="none"/>
        </w:rPr>
        <w:t>yyyymmdd</w:t>
      </w:r>
      <w:r>
        <w:rPr>
          <w:rFonts w:hint="eastAsia"/>
          <w:sz w:val="24"/>
          <w:highlight w:val="none"/>
        </w:rPr>
        <w:t>】，其中</w:t>
      </w:r>
      <w:r>
        <w:rPr>
          <w:sz w:val="24"/>
          <w:highlight w:val="none"/>
        </w:rPr>
        <w:t>yyyymmdd</w:t>
      </w:r>
      <w:r>
        <w:rPr>
          <w:rFonts w:hint="eastAsia"/>
          <w:sz w:val="24"/>
          <w:highlight w:val="none"/>
        </w:rPr>
        <w:t>为</w:t>
      </w:r>
      <w:r>
        <w:rPr>
          <w:sz w:val="24"/>
          <w:highlight w:val="none"/>
        </w:rPr>
        <w:t>8</w:t>
      </w:r>
      <w:r>
        <w:rPr>
          <w:rFonts w:hint="eastAsia"/>
          <w:sz w:val="24"/>
          <w:highlight w:val="none"/>
        </w:rPr>
        <w:t>位数日期，数据表示交易日期。</w:t>
      </w:r>
    </w:p>
    <w:p>
      <w:pPr>
        <w:rPr>
          <w:b/>
          <w:bCs/>
          <w:sz w:val="32"/>
          <w:szCs w:val="32"/>
          <w:highlight w:val="none"/>
        </w:rPr>
      </w:pPr>
    </w:p>
    <w:p>
      <w:pPr>
        <w:rPr>
          <w:b/>
          <w:bCs/>
          <w:sz w:val="28"/>
          <w:szCs w:val="28"/>
          <w:highlight w:val="none"/>
        </w:rPr>
      </w:pPr>
      <w:r>
        <w:rPr>
          <w:rFonts w:hint="eastAsia"/>
          <w:b/>
          <w:bCs/>
          <w:sz w:val="28"/>
          <w:szCs w:val="28"/>
          <w:highlight w:val="none"/>
        </w:rPr>
        <w:t>业务处室：资产托管部科技团队</w:t>
      </w:r>
    </w:p>
    <w:p>
      <w:pPr>
        <w:rPr>
          <w:b/>
          <w:bCs/>
          <w:sz w:val="32"/>
          <w:szCs w:val="32"/>
          <w:highlight w:val="none"/>
        </w:rPr>
      </w:pPr>
    </w:p>
    <w:tbl>
      <w:tblPr>
        <w:tblStyle w:val="15"/>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342"/>
        <w:gridCol w:w="1956"/>
        <w:gridCol w:w="1404"/>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167"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姓  名</w:t>
            </w:r>
          </w:p>
        </w:tc>
        <w:tc>
          <w:tcPr>
            <w:tcW w:w="1342"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 xml:space="preserve">岗  位 </w:t>
            </w:r>
          </w:p>
        </w:tc>
        <w:tc>
          <w:tcPr>
            <w:tcW w:w="1956"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办公电话</w:t>
            </w:r>
          </w:p>
        </w:tc>
        <w:tc>
          <w:tcPr>
            <w:tcW w:w="1404"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手  机</w:t>
            </w:r>
          </w:p>
        </w:tc>
        <w:tc>
          <w:tcPr>
            <w:tcW w:w="2650"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167"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周昊哲</w:t>
            </w:r>
          </w:p>
        </w:tc>
        <w:tc>
          <w:tcPr>
            <w:tcW w:w="1342" w:type="dxa"/>
            <w:vMerge w:val="restart"/>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技术支持</w:t>
            </w:r>
          </w:p>
          <w:p>
            <w:pPr>
              <w:keepNext w:val="0"/>
              <w:keepLines w:val="0"/>
              <w:suppressLineNumbers w:val="0"/>
              <w:spacing w:before="0" w:beforeAutospacing="0" w:after="0" w:afterAutospacing="0"/>
              <w:ind w:left="0" w:right="0"/>
              <w:jc w:val="center"/>
              <w:rPr>
                <w:highlight w:val="none"/>
              </w:rPr>
            </w:pPr>
            <w:r>
              <w:rPr>
                <w:rFonts w:hint="eastAsia"/>
                <w:b/>
                <w:bCs/>
                <w:highlight w:val="none"/>
              </w:rPr>
              <w:t>联系人</w:t>
            </w:r>
          </w:p>
        </w:tc>
        <w:tc>
          <w:tcPr>
            <w:tcW w:w="1956"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010-57093478</w:t>
            </w:r>
          </w:p>
        </w:tc>
        <w:tc>
          <w:tcPr>
            <w:tcW w:w="1404"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18600160346</w:t>
            </w:r>
          </w:p>
        </w:tc>
        <w:tc>
          <w:tcPr>
            <w:tcW w:w="2650"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zhouhaozhe@cmbc.com.cn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167"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任秀丽</w:t>
            </w:r>
          </w:p>
        </w:tc>
        <w:tc>
          <w:tcPr>
            <w:tcW w:w="1342" w:type="dxa"/>
            <w:vMerge w:val="continue"/>
            <w:vAlign w:val="center"/>
          </w:tcPr>
          <w:p>
            <w:pPr>
              <w:keepNext w:val="0"/>
              <w:keepLines w:val="0"/>
              <w:suppressLineNumbers w:val="0"/>
              <w:spacing w:before="0" w:beforeAutospacing="0" w:after="0" w:afterAutospacing="0"/>
              <w:ind w:left="0" w:right="0"/>
              <w:jc w:val="center"/>
              <w:rPr>
                <w:highlight w:val="none"/>
              </w:rPr>
            </w:pPr>
          </w:p>
        </w:tc>
        <w:tc>
          <w:tcPr>
            <w:tcW w:w="1956"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010-57092379</w:t>
            </w:r>
          </w:p>
        </w:tc>
        <w:tc>
          <w:tcPr>
            <w:tcW w:w="1404"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18611808497</w:t>
            </w:r>
          </w:p>
        </w:tc>
        <w:tc>
          <w:tcPr>
            <w:tcW w:w="2650"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renxiuli@cmbc.com.cn</w:t>
            </w:r>
          </w:p>
        </w:tc>
      </w:tr>
    </w:tbl>
    <w:p>
      <w:pPr>
        <w:rPr>
          <w:b/>
          <w:bCs/>
          <w:sz w:val="32"/>
          <w:szCs w:val="32"/>
          <w:highlight w:val="none"/>
        </w:rPr>
      </w:pPr>
    </w:p>
    <w:p>
      <w:pPr>
        <w:rPr>
          <w:b/>
          <w:bCs/>
          <w:sz w:val="32"/>
          <w:szCs w:val="32"/>
          <w:highlight w:val="none"/>
        </w:rPr>
      </w:pPr>
    </w:p>
    <w:p>
      <w:pPr>
        <w:rPr>
          <w:b/>
          <w:bCs/>
          <w:sz w:val="28"/>
          <w:szCs w:val="28"/>
          <w:highlight w:val="none"/>
        </w:rPr>
      </w:pPr>
      <w:r>
        <w:rPr>
          <w:rFonts w:hint="eastAsia"/>
          <w:b/>
          <w:bCs/>
          <w:sz w:val="28"/>
          <w:szCs w:val="28"/>
          <w:highlight w:val="none"/>
        </w:rPr>
        <w:t>业务处室：资产托管部风险中心</w:t>
      </w:r>
    </w:p>
    <w:tbl>
      <w:tblPr>
        <w:tblStyle w:val="15"/>
        <w:tblpPr w:leftFromText="180" w:rightFromText="180" w:vertAnchor="text" w:horzAnchor="page" w:tblpX="1605" w:tblpY="1414"/>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342"/>
        <w:gridCol w:w="1956"/>
        <w:gridCol w:w="1404"/>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姓  名</w:t>
            </w:r>
          </w:p>
        </w:tc>
        <w:tc>
          <w:tcPr>
            <w:tcW w:w="1342"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 xml:space="preserve">岗  位 </w:t>
            </w:r>
          </w:p>
        </w:tc>
        <w:tc>
          <w:tcPr>
            <w:tcW w:w="1956"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办公电话</w:t>
            </w:r>
          </w:p>
        </w:tc>
        <w:tc>
          <w:tcPr>
            <w:tcW w:w="1404"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手  机</w:t>
            </w:r>
          </w:p>
        </w:tc>
        <w:tc>
          <w:tcPr>
            <w:tcW w:w="2650" w:type="dxa"/>
            <w:shd w:val="clear" w:color="auto" w:fill="A4A4A4"/>
            <w:vAlign w:val="center"/>
          </w:tcPr>
          <w:p>
            <w:pPr>
              <w:keepNext w:val="0"/>
              <w:keepLines w:val="0"/>
              <w:suppressLineNumbers w:val="0"/>
              <w:spacing w:before="0" w:beforeAutospacing="0" w:after="0" w:afterAutospacing="0"/>
              <w:ind w:left="0" w:right="0"/>
              <w:jc w:val="center"/>
              <w:rPr>
                <w:b/>
                <w:bCs/>
                <w:sz w:val="28"/>
                <w:szCs w:val="28"/>
                <w:highlight w:val="none"/>
              </w:rPr>
            </w:pPr>
            <w:r>
              <w:rPr>
                <w:rFonts w:hint="eastAsia"/>
                <w:b/>
                <w:bCs/>
                <w:sz w:val="28"/>
                <w:szCs w:val="28"/>
                <w:highlight w:val="none"/>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167"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罗菲菲</w:t>
            </w:r>
          </w:p>
        </w:tc>
        <w:tc>
          <w:tcPr>
            <w:tcW w:w="1342" w:type="dxa"/>
            <w:vAlign w:val="center"/>
          </w:tcPr>
          <w:p>
            <w:pPr>
              <w:keepNext w:val="0"/>
              <w:keepLines w:val="0"/>
              <w:suppressLineNumbers w:val="0"/>
              <w:spacing w:before="0" w:beforeAutospacing="0" w:after="0" w:afterAutospacing="0"/>
              <w:ind w:left="0" w:right="0"/>
              <w:jc w:val="center"/>
              <w:rPr>
                <w:b/>
                <w:bCs/>
                <w:highlight w:val="none"/>
              </w:rPr>
            </w:pPr>
            <w:r>
              <w:rPr>
                <w:rFonts w:hint="eastAsia"/>
                <w:b/>
                <w:bCs/>
                <w:highlight w:val="none"/>
              </w:rPr>
              <w:t>投资监督</w:t>
            </w:r>
          </w:p>
          <w:p>
            <w:pPr>
              <w:keepNext w:val="0"/>
              <w:keepLines w:val="0"/>
              <w:suppressLineNumbers w:val="0"/>
              <w:spacing w:before="0" w:beforeAutospacing="0" w:after="0" w:afterAutospacing="0"/>
              <w:ind w:left="0" w:right="0"/>
              <w:jc w:val="center"/>
              <w:rPr>
                <w:highlight w:val="none"/>
              </w:rPr>
            </w:pPr>
            <w:r>
              <w:rPr>
                <w:rFonts w:hint="eastAsia"/>
                <w:b/>
                <w:bCs/>
                <w:highlight w:val="none"/>
              </w:rPr>
              <w:t>联系人</w:t>
            </w:r>
          </w:p>
        </w:tc>
        <w:tc>
          <w:tcPr>
            <w:tcW w:w="1956"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010-58560666-8128</w:t>
            </w:r>
          </w:p>
        </w:tc>
        <w:tc>
          <w:tcPr>
            <w:tcW w:w="1404"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13810914509</w:t>
            </w:r>
          </w:p>
        </w:tc>
        <w:tc>
          <w:tcPr>
            <w:tcW w:w="2650" w:type="dxa"/>
            <w:vAlign w:val="center"/>
          </w:tcPr>
          <w:p>
            <w:pPr>
              <w:keepNext w:val="0"/>
              <w:keepLines w:val="0"/>
              <w:suppressLineNumbers w:val="0"/>
              <w:spacing w:before="0" w:beforeAutospacing="0" w:after="0" w:afterAutospacing="0"/>
              <w:ind w:left="0" w:right="0"/>
              <w:jc w:val="center"/>
              <w:rPr>
                <w:highlight w:val="none"/>
              </w:rPr>
            </w:pPr>
            <w:r>
              <w:rPr>
                <w:rFonts w:hint="eastAsia"/>
                <w:highlight w:val="none"/>
              </w:rPr>
              <w:t>luofeifei2@cmbc.com.cn</w:t>
            </w:r>
          </w:p>
        </w:tc>
      </w:tr>
    </w:tbl>
    <w:p>
      <w:pPr>
        <w:tabs>
          <w:tab w:val="left" w:pos="1455"/>
        </w:tabs>
        <w:spacing w:line="420" w:lineRule="exact"/>
        <w:ind w:left="424" w:leftChars="202" w:right="451" w:rightChars="215" w:firstLine="480" w:firstLineChars="200"/>
        <w:rPr>
          <w:color w:val="000000"/>
          <w:sz w:val="24"/>
          <w:szCs w:val="20"/>
          <w:highlight w:val="none"/>
        </w:rPr>
      </w:pPr>
    </w:p>
    <w:sectPr>
      <w:pgSz w:w="11849" w:h="16781"/>
      <w:pgMar w:top="964" w:right="1501" w:bottom="964" w:left="964" w:header="850" w:footer="992" w:gutter="0"/>
      <w:pgNumType w:fmt="decimal"/>
      <w:cols w:space="720" w:num="1"/>
      <w:formProt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文本框 2"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28</w:t>
                </w:r>
                <w:r>
                  <w:rPr>
                    <w:rFonts w:hint="eastAsia"/>
                    <w:sz w:val="18"/>
                    <w:lang w:eastAsia="zh-CN"/>
                  </w:rPr>
                  <w:fldChar w:fldCharType="end"/>
                </w:r>
                <w:r>
                  <w:rPr>
                    <w:rFonts w:hint="eastAsia"/>
                    <w:sz w:val="18"/>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pPr>
    <w:r>
      <w:pict>
        <v:shape id="文本框3" o:spid="_x0000_s409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EBZ&#10;o5i2AQAAUw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28</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sz w:val="18"/>
      </w:rPr>
      <w:pict>
        <v:shape id="_x0000_s4107" o:spid="_x0000_s4107" o:spt="136" type="#_x0000_t136" style="position:absolute;left:0pt;margin-left:0pt;margin-top:390pt;height:8.6pt;width:45.35pt;mso-position-horizontal-relative:margin;mso-position-vertical-relative:margin;rotation:5898240f;z-index:251669504;mso-width-relative:page;mso-height-relative:page;" fillcolor="#393000" filled="t" stroked="f" coordsize="21600,21600" adj="10800">
          <v:path/>
          <v:fill on="t" focussize="0,0"/>
          <v:stroke on="f"/>
          <v:imagedata o:title=""/>
          <o:lock v:ext="edit" aspectratio="t"/>
          <v:textpath on="t" fitshape="t" fitpath="t" trim="t" xscale="f" string="2018-1592426" style="font-family:宋体;font-size:9pt;v-rotate-letters:t;v-same-letter-heights:f;v-text-align:center;"/>
        </v:shape>
      </w:pict>
    </w:r>
    <w:r>
      <w:rPr>
        <w:sz w:val="18"/>
      </w:rPr>
      <w:pict>
        <v:shape id="_x0000_s4098" o:spid="_x0000_s4098" o:spt="75" alt="number" type="#_x0000_t75" style="position:absolute;left:0pt;margin-left:25pt;margin-top:360pt;height:58.65pt;width:45.35pt;mso-position-horizontal-relative:margin;mso-position-vertical-relative:margin;z-index:251660288;mso-width-relative:page;mso-height-relative:page;" fillcolor="#393000" filled="t" o:preferrelative="t" stroked="f" coordsize="21600,21600">
          <v:path/>
          <v:fill on="t" focussize="0,0"/>
          <v:stroke on="f"/>
          <v:imagedata r:id="rId1" o:title="number"/>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r>
      <w:rPr>
        <w:sz w:val="18"/>
      </w:rPr>
      <w:pict>
        <v:shape id="_x0000_s4115" o:spid="_x0000_s4115" o:spt="136" type="#_x0000_t136" style="position:absolute;left:0pt;margin-left:0pt;margin-top:390pt;height:8.6pt;width:45.35pt;mso-position-horizontal-relative:margin;mso-position-vertical-relative:margin;rotation:5898240f;z-index:251677696;mso-width-relative:page;mso-height-relative:page;" fillcolor="#393000" filled="t" stroked="f" coordsize="21600,21600" adj="10800">
          <v:path/>
          <v:fill on="t" focussize="0,0"/>
          <v:stroke on="f"/>
          <v:imagedata o:title=""/>
          <o:lock v:ext="edit" aspectratio="t"/>
          <v:textpath on="t" fitshape="t" fitpath="t" trim="t" xscale="f" string="2018-1592426" style="font-family:宋体;font-size:9pt;v-rotate-letters:t;v-same-letter-heights:f;v-text-align:center;"/>
        </v:shape>
      </w:pict>
    </w:r>
    <w:r>
      <w:rPr>
        <w:sz w:val="18"/>
      </w:rPr>
      <w:pict>
        <v:shape id="_x0000_s4114" o:spid="_x0000_s4114" o:spt="136" type="#_x0000_t136" style="position:absolute;left:0pt;margin-left:0pt;margin-top:390pt;height:8.6pt;width:45.35pt;mso-position-horizontal-relative:margin;mso-position-vertical-relative:margin;rotation:5898240f;z-index:251676672;mso-width-relative:page;mso-height-relative:page;" fillcolor="#393000" filled="t" stroked="f" coordsize="21600,21600" adj="10800">
          <v:path/>
          <v:fill on="t" focussize="0,0"/>
          <v:stroke on="f"/>
          <v:imagedata o:title=""/>
          <o:lock v:ext="edit" aspectratio="t"/>
          <v:textpath on="t" fitshape="t" fitpath="t" trim="t" xscale="f" string="2018-1592426" style="font-family:宋体;font-size:9pt;v-rotate-letters:t;v-same-letter-heights:f;v-text-align:center;"/>
        </v:shape>
      </w:pict>
    </w:r>
    <w:r>
      <w:rPr>
        <w:sz w:val="18"/>
      </w:rPr>
      <w:pict>
        <v:shape id="_x0000_s4113" o:spid="_x0000_s4113" o:spt="136" type="#_x0000_t136" style="position:absolute;left:0pt;margin-left:0pt;margin-top:390pt;height:8.6pt;width:45.35pt;mso-position-horizontal-relative:margin;mso-position-vertical-relative:margin;rotation:5898240f;z-index:251675648;mso-width-relative:page;mso-height-relative:page;" fillcolor="#393000" filled="t" stroked="f" coordsize="21600,21600" adj="10800">
          <v:path/>
          <v:fill on="t" focussize="0,0"/>
          <v:stroke on="f"/>
          <v:imagedata o:title=""/>
          <o:lock v:ext="edit" aspectratio="t"/>
          <v:textpath on="t" fitshape="t" fitpath="t" trim="t" xscale="f" string="2018-1592426" style="font-family:宋体;font-size:9pt;v-rotate-letters:t;v-same-letter-heights:f;v-text-align:center;"/>
        </v:shape>
      </w:pict>
    </w:r>
    <w:r>
      <w:rPr>
        <w:sz w:val="18"/>
      </w:rPr>
      <w:pict>
        <v:shape id="_x0000_s4112" o:spid="_x0000_s4112" o:spt="136" type="#_x0000_t136" style="position:absolute;left:0pt;margin-left:0pt;margin-top:390pt;height:8.6pt;width:45.35pt;mso-position-horizontal-relative:margin;mso-position-vertical-relative:margin;rotation:5898240f;z-index:251674624;mso-width-relative:page;mso-height-relative:page;" fillcolor="#393000" filled="t" stroked="f" coordsize="21600,21600" adj="10800">
          <v:path/>
          <v:fill on="t" focussize="0,0"/>
          <v:stroke on="f"/>
          <v:imagedata o:title=""/>
          <o:lock v:ext="edit" aspectratio="t"/>
          <v:textpath on="t" fitshape="t" fitpath="t" trim="t" xscale="f" string="2018-1592426" style="font-family:宋体;font-size:9pt;v-rotate-letters:t;v-same-letter-heights:f;v-text-align:center;"/>
        </v:shape>
      </w:pict>
    </w:r>
    <w:r>
      <w:rPr>
        <w:sz w:val="18"/>
      </w:rPr>
      <w:pict>
        <v:shape id="_x0000_s4111" o:spid="_x0000_s4111" o:spt="136" type="#_x0000_t136" style="position:absolute;left:0pt;margin-left:0pt;margin-top:390pt;height:8.6pt;width:45.35pt;mso-position-horizontal-relative:margin;mso-position-vertical-relative:margin;rotation:5898240f;z-index:251673600;mso-width-relative:page;mso-height-relative:page;" fillcolor="#393000" filled="t" stroked="f" coordsize="21600,21600" adj="10800">
          <v:path/>
          <v:fill on="t" focussize="0,0"/>
          <v:stroke on="f"/>
          <v:imagedata o:title=""/>
          <o:lock v:ext="edit" aspectratio="t"/>
          <v:textpath on="t" fitshape="t" fitpath="t" trim="t" xscale="f" string="2018-1592426" style="font-family:宋体;font-size:9pt;v-rotate-letters:t;v-same-letter-heights:f;v-text-align:center;"/>
        </v:shape>
      </w:pict>
    </w:r>
    <w:r>
      <w:rPr>
        <w:sz w:val="18"/>
      </w:rPr>
      <w:pict>
        <v:shape id="_x0000_s4110" o:spid="_x0000_s4110" o:spt="136" type="#_x0000_t136" style="position:absolute;left:0pt;margin-left:0pt;margin-top:390pt;height:8.6pt;width:45.35pt;mso-position-horizontal-relative:margin;mso-position-vertical-relative:margin;rotation:5898240f;z-index:251672576;mso-width-relative:page;mso-height-relative:page;" fillcolor="#393000" filled="t" stroked="f" coordsize="21600,21600" adj="10800">
          <v:path/>
          <v:fill on="t" focussize="0,0"/>
          <v:stroke on="f"/>
          <v:imagedata o:title=""/>
          <o:lock v:ext="edit" aspectratio="t"/>
          <v:textpath on="t" fitshape="t" fitpath="t" trim="t" xscale="f" string="2018-1592426" style="font-family:宋体;font-size:9pt;v-rotate-letters:t;v-same-letter-heights:f;v-text-align:center;"/>
        </v:shape>
      </w:pict>
    </w:r>
    <w:r>
      <w:rPr>
        <w:sz w:val="18"/>
      </w:rPr>
      <w:pict>
        <v:shape id="_x0000_s4109" o:spid="_x0000_s4109" o:spt="136" type="#_x0000_t136" style="position:absolute;left:0pt;margin-left:0pt;margin-top:390pt;height:8.6pt;width:45.35pt;mso-position-horizontal-relative:margin;mso-position-vertical-relative:margin;rotation:5898240f;z-index:251671552;mso-width-relative:page;mso-height-relative:page;" fillcolor="#393000" filled="t" stroked="f" coordsize="21600,21600" adj="10800">
          <v:path/>
          <v:fill on="t" focussize="0,0"/>
          <v:stroke on="f"/>
          <v:imagedata o:title=""/>
          <o:lock v:ext="edit" aspectratio="t"/>
          <v:textpath on="t" fitshape="t" fitpath="t" trim="t" xscale="f" string="2018-1592426" style="font-family:宋体;font-size:9pt;v-rotate-letters:t;v-same-letter-heights:f;v-text-align:center;"/>
        </v:shape>
      </w:pict>
    </w:r>
    <w:r>
      <w:rPr>
        <w:sz w:val="18"/>
      </w:rPr>
      <w:pict>
        <v:shape id="_x0000_s4108" o:spid="_x0000_s4108" o:spt="136" type="#_x0000_t136" style="position:absolute;left:0pt;margin-left:0pt;margin-top:390pt;height:8.6pt;width:45.35pt;mso-position-horizontal-relative:margin;mso-position-vertical-relative:margin;rotation:5898240f;z-index:251670528;mso-width-relative:page;mso-height-relative:page;" fillcolor="#393000" filled="t" stroked="f" coordsize="21600,21600" adj="10800">
          <v:path/>
          <v:fill on="t" focussize="0,0"/>
          <v:stroke on="f"/>
          <v:imagedata o:title=""/>
          <o:lock v:ext="edit" aspectratio="t"/>
          <v:textpath on="t" fitshape="t" fitpath="t" trim="t" xscale="f" string="2018-1592426" style="font-family:宋体;font-size:9pt;v-rotate-letters:t;v-same-letter-heights:f;v-text-align:center;"/>
        </v:shape>
      </w:pict>
    </w:r>
    <w:r>
      <w:rPr>
        <w:sz w:val="18"/>
      </w:rPr>
      <w:pict>
        <v:shape id="_x0000_s4106" o:spid="_x0000_s4106" o:spt="75" alt="number" type="#_x0000_t75" style="position:absolute;left:0pt;margin-left:25pt;margin-top:360pt;height:58.65pt;width:45.35pt;mso-position-horizontal-relative:margin;mso-position-vertical-relative:margin;z-index:251668480;mso-width-relative:page;mso-height-relative:page;" fillcolor="#393000" filled="t" o:preferrelative="t" stroked="f" coordsize="21600,21600">
          <v:path/>
          <v:fill on="t" focussize="0,0"/>
          <v:stroke on="f"/>
          <v:imagedata r:id="rId1" o:title="number"/>
          <o:lock v:ext="edit" aspectratio="t"/>
        </v:shape>
      </w:pict>
    </w:r>
    <w:r>
      <w:rPr>
        <w:sz w:val="18"/>
      </w:rPr>
      <w:pict>
        <v:shape id="_x0000_s4105" o:spid="_x0000_s4105" o:spt="75" alt="number" type="#_x0000_t75" style="position:absolute;left:0pt;margin-left:25pt;margin-top:360pt;height:58.65pt;width:45.35pt;mso-position-horizontal-relative:margin;mso-position-vertical-relative:margin;z-index:251667456;mso-width-relative:page;mso-height-relative:page;" fillcolor="#393000" filled="t" o:preferrelative="t" stroked="f" coordsize="21600,21600">
          <v:path/>
          <v:fill on="t" focussize="0,0"/>
          <v:stroke on="f"/>
          <v:imagedata r:id="rId1" o:title="number"/>
          <o:lock v:ext="edit" aspectratio="t"/>
        </v:shape>
      </w:pict>
    </w:r>
    <w:r>
      <w:rPr>
        <w:sz w:val="18"/>
      </w:rPr>
      <w:pict>
        <v:shape id="_x0000_s4104" o:spid="_x0000_s4104" o:spt="75" alt="number" type="#_x0000_t75" style="position:absolute;left:0pt;margin-left:25pt;margin-top:360pt;height:58.65pt;width:45.35pt;mso-position-horizontal-relative:margin;mso-position-vertical-relative:margin;z-index:251666432;mso-width-relative:page;mso-height-relative:page;" fillcolor="#393000" filled="t" o:preferrelative="t" stroked="f" coordsize="21600,21600">
          <v:path/>
          <v:fill on="t" focussize="0,0"/>
          <v:stroke on="f"/>
          <v:imagedata r:id="rId1" o:title="number"/>
          <o:lock v:ext="edit" aspectratio="t"/>
        </v:shape>
      </w:pict>
    </w:r>
    <w:r>
      <w:rPr>
        <w:sz w:val="18"/>
      </w:rPr>
      <w:pict>
        <v:shape id="_x0000_s4103" o:spid="_x0000_s4103" o:spt="75" alt="number" type="#_x0000_t75" style="position:absolute;left:0pt;margin-left:25pt;margin-top:360pt;height:58.65pt;width:45.35pt;mso-position-horizontal-relative:margin;mso-position-vertical-relative:margin;z-index:251665408;mso-width-relative:page;mso-height-relative:page;" fillcolor="#393000" filled="t" o:preferrelative="t" stroked="f" coordsize="21600,21600">
          <v:path/>
          <v:fill on="t" focussize="0,0"/>
          <v:stroke on="f"/>
          <v:imagedata r:id="rId1" o:title="number"/>
          <o:lock v:ext="edit" aspectratio="t"/>
        </v:shape>
      </w:pict>
    </w:r>
    <w:r>
      <w:rPr>
        <w:sz w:val="18"/>
      </w:rPr>
      <w:pict>
        <v:shape id="_x0000_s4102" o:spid="_x0000_s4102" o:spt="75" alt="number" type="#_x0000_t75" style="position:absolute;left:0pt;margin-left:25pt;margin-top:360pt;height:58.65pt;width:45.35pt;mso-position-horizontal-relative:margin;mso-position-vertical-relative:margin;z-index:251664384;mso-width-relative:page;mso-height-relative:page;" fillcolor="#393000" filled="t" o:preferrelative="t" stroked="f" coordsize="21600,21600">
          <v:path/>
          <v:fill on="t" focussize="0,0"/>
          <v:stroke on="f"/>
          <v:imagedata r:id="rId1" o:title="number"/>
          <o:lock v:ext="edit" aspectratio="t"/>
        </v:shape>
      </w:pict>
    </w:r>
    <w:r>
      <w:rPr>
        <w:sz w:val="18"/>
      </w:rPr>
      <w:pict>
        <v:shape id="_x0000_s4101" o:spid="_x0000_s4101" o:spt="75" alt="number" type="#_x0000_t75" style="position:absolute;left:0pt;margin-left:25pt;margin-top:360pt;height:58.65pt;width:45.35pt;mso-position-horizontal-relative:margin;mso-position-vertical-relative:margin;z-index:251663360;mso-width-relative:page;mso-height-relative:page;" fillcolor="#393000" filled="t" o:preferrelative="t" stroked="f" coordsize="21600,21600">
          <v:path/>
          <v:fill on="t" focussize="0,0"/>
          <v:stroke on="f"/>
          <v:imagedata r:id="rId1" o:title="number"/>
          <o:lock v:ext="edit" aspectratio="t"/>
        </v:shape>
      </w:pict>
    </w:r>
    <w:r>
      <w:rPr>
        <w:sz w:val="18"/>
      </w:rPr>
      <w:pict>
        <v:shape id="_x0000_s4100" o:spid="_x0000_s4100" o:spt="75" alt="number" type="#_x0000_t75" style="position:absolute;left:0pt;margin-left:25pt;margin-top:360pt;height:58.65pt;width:45.35pt;mso-position-horizontal-relative:margin;mso-position-vertical-relative:margin;z-index:251662336;mso-width-relative:page;mso-height-relative:page;" fillcolor="#393000" filled="t" o:preferrelative="t" stroked="f" coordsize="21600,21600">
          <v:path/>
          <v:fill on="t" focussize="0,0"/>
          <v:stroke on="f"/>
          <v:imagedata r:id="rId1" o:title="number"/>
          <o:lock v:ext="edit" aspectratio="t"/>
        </v:shape>
      </w:pict>
    </w:r>
    <w:r>
      <w:rPr>
        <w:sz w:val="18"/>
      </w:rPr>
      <w:pict>
        <v:shape id="_x0000_s4099" o:spid="_x0000_s4099" o:spt="75" alt="number" type="#_x0000_t75" style="position:absolute;left:0pt;margin-left:25pt;margin-top:360pt;height:58.65pt;width:45.35pt;mso-position-horizontal-relative:margin;mso-position-vertical-relative:margin;z-index:251661312;mso-width-relative:page;mso-height-relative:page;" fillcolor="#393000" filled="t" o:preferrelative="t" stroked="f" coordsize="21600,21600">
          <v:path/>
          <v:fill on="t" focussize="0,0"/>
          <v:stroke on="f"/>
          <v:imagedata r:id="rId1" o:title="number"/>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dit="forms" w:enforcement="1" w:cryptProviderType="rsaFull" w:cryptAlgorithmClass="hash" w:cryptAlgorithmType="typeAny" w:cryptAlgorithmSid="4" w:cryptSpinCount="0" w:hash="h9sXmXSkiFhlm2zPQNOFILMElzk=" w:salt="FDTE/H4eZ7FdS5wvlhEHVQ=="/>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8C1251"/>
    <w:rsid w:val="00F52FB9"/>
    <w:rsid w:val="024D04CD"/>
    <w:rsid w:val="04270D24"/>
    <w:rsid w:val="06664191"/>
    <w:rsid w:val="06733963"/>
    <w:rsid w:val="06AF2087"/>
    <w:rsid w:val="0793017B"/>
    <w:rsid w:val="07C81036"/>
    <w:rsid w:val="0CCA7BD2"/>
    <w:rsid w:val="0D4623C2"/>
    <w:rsid w:val="0F284963"/>
    <w:rsid w:val="12A732A0"/>
    <w:rsid w:val="140D5AA0"/>
    <w:rsid w:val="14823E49"/>
    <w:rsid w:val="148A6190"/>
    <w:rsid w:val="1FD67261"/>
    <w:rsid w:val="208C5688"/>
    <w:rsid w:val="22DC48D4"/>
    <w:rsid w:val="240141AE"/>
    <w:rsid w:val="29941666"/>
    <w:rsid w:val="2AAB58D2"/>
    <w:rsid w:val="2C6D38E7"/>
    <w:rsid w:val="33F223C0"/>
    <w:rsid w:val="35E12BED"/>
    <w:rsid w:val="3A5E5302"/>
    <w:rsid w:val="3AA2104B"/>
    <w:rsid w:val="3C525372"/>
    <w:rsid w:val="3E082989"/>
    <w:rsid w:val="3F9D7451"/>
    <w:rsid w:val="409A3EFF"/>
    <w:rsid w:val="41E01EA1"/>
    <w:rsid w:val="42527856"/>
    <w:rsid w:val="427D199F"/>
    <w:rsid w:val="44A05469"/>
    <w:rsid w:val="478923CF"/>
    <w:rsid w:val="489626CA"/>
    <w:rsid w:val="4A3213E3"/>
    <w:rsid w:val="4A4F45A8"/>
    <w:rsid w:val="50AC2DCC"/>
    <w:rsid w:val="50EA624F"/>
    <w:rsid w:val="5507706B"/>
    <w:rsid w:val="552C0B03"/>
    <w:rsid w:val="59465D00"/>
    <w:rsid w:val="5A622446"/>
    <w:rsid w:val="5AAB41F8"/>
    <w:rsid w:val="5E7049F9"/>
    <w:rsid w:val="649948A3"/>
    <w:rsid w:val="651F48B1"/>
    <w:rsid w:val="67122E04"/>
    <w:rsid w:val="68556C9F"/>
    <w:rsid w:val="6A5A1545"/>
    <w:rsid w:val="6A8D7727"/>
    <w:rsid w:val="6D63513D"/>
    <w:rsid w:val="6FFB1AF2"/>
    <w:rsid w:val="75A93F76"/>
    <w:rsid w:val="7B016EC0"/>
    <w:rsid w:val="7B692A28"/>
    <w:rsid w:val="7BC767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2"/>
    <w:qFormat/>
    <w:uiPriority w:val="0"/>
    <w:pPr>
      <w:keepNext/>
      <w:keepLines/>
      <w:spacing w:before="340" w:beforeLines="0" w:after="330" w:afterLines="0" w:line="576" w:lineRule="auto"/>
      <w:textAlignment w:val="baseline"/>
      <w:outlineLvl w:val="0"/>
    </w:pPr>
    <w:rPr>
      <w:b/>
      <w:bCs/>
      <w:kern w:val="44"/>
      <w:sz w:val="44"/>
      <w:szCs w:val="44"/>
    </w:rPr>
  </w:style>
  <w:style w:type="character" w:default="1" w:styleId="11">
    <w:name w:val="Default Paragraph Font"/>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3">
    <w:name w:val="annotation subject"/>
    <w:basedOn w:val="4"/>
    <w:next w:val="4"/>
    <w:link w:val="52"/>
    <w:qFormat/>
    <w:uiPriority w:val="0"/>
    <w:rPr>
      <w:b/>
      <w:bCs/>
      <w:kern w:val="2"/>
      <w:sz w:val="21"/>
      <w:szCs w:val="21"/>
    </w:rPr>
  </w:style>
  <w:style w:type="paragraph" w:styleId="4">
    <w:name w:val="annotation text"/>
    <w:basedOn w:val="1"/>
    <w:link w:val="51"/>
    <w:qFormat/>
    <w:uiPriority w:val="0"/>
    <w:pPr>
      <w:jc w:val="left"/>
    </w:pPr>
    <w:rPr>
      <w:kern w:val="2"/>
      <w:sz w:val="21"/>
      <w:szCs w:val="21"/>
    </w:rPr>
  </w:style>
  <w:style w:type="paragraph" w:styleId="5">
    <w:name w:val="Body Text"/>
    <w:basedOn w:val="1"/>
    <w:qFormat/>
    <w:uiPriority w:val="0"/>
    <w:pPr>
      <w:adjustRightInd w:val="0"/>
      <w:spacing w:after="120" w:afterLines="0" w:line="360" w:lineRule="auto"/>
      <w:ind w:firstLine="200" w:firstLineChars="200"/>
    </w:pPr>
    <w:rPr>
      <w:sz w:val="24"/>
      <w:szCs w:val="20"/>
    </w:rPr>
  </w:style>
  <w:style w:type="paragraph" w:styleId="6">
    <w:name w:val="Balloon Text"/>
    <w:basedOn w:val="1"/>
    <w:link w:val="49"/>
    <w:qFormat/>
    <w:uiPriority w:val="0"/>
    <w:rPr>
      <w:sz w:val="18"/>
      <w:szCs w:val="18"/>
    </w:rPr>
  </w:style>
  <w:style w:type="paragraph" w:styleId="7">
    <w:name w:val="footer"/>
    <w:basedOn w:val="1"/>
    <w:qFormat/>
    <w:uiPriority w:val="0"/>
    <w:pPr>
      <w:tabs>
        <w:tab w:val="center" w:pos="4153"/>
        <w:tab w:val="right" w:pos="8306"/>
      </w:tabs>
      <w:snapToGrid w:val="0"/>
      <w:jc w:val="left"/>
    </w:pPr>
    <w:rPr>
      <w:kern w:val="2"/>
      <w:sz w:val="18"/>
      <w:szCs w:val="18"/>
    </w:rPr>
  </w:style>
  <w:style w:type="paragraph" w:styleId="8">
    <w:name w:val="header"/>
    <w:basedOn w:val="1"/>
    <w:link w:val="48"/>
    <w:qFormat/>
    <w:uiPriority w:val="0"/>
    <w:pPr>
      <w:pBdr>
        <w:bottom w:val="single" w:color="auto" w:sz="6" w:space="1"/>
      </w:pBdr>
      <w:tabs>
        <w:tab w:val="center" w:pos="4153"/>
        <w:tab w:val="right" w:pos="8306"/>
      </w:tabs>
      <w:snapToGrid w:val="0"/>
      <w:jc w:val="center"/>
    </w:pPr>
    <w:rPr>
      <w:kern w:val="2"/>
      <w:sz w:val="18"/>
      <w:szCs w:val="18"/>
    </w:rPr>
  </w:style>
  <w:style w:type="paragraph" w:styleId="9">
    <w:name w:val="toc 1"/>
    <w:basedOn w:val="1"/>
    <w:next w:val="1"/>
    <w:qFormat/>
    <w:uiPriority w:val="0"/>
    <w:pPr>
      <w:adjustRightInd w:val="0"/>
      <w:spacing w:line="360" w:lineRule="auto"/>
      <w:ind w:firstLine="200" w:firstLineChars="200"/>
    </w:pPr>
    <w:rPr>
      <w:sz w:val="24"/>
      <w:szCs w:val="20"/>
    </w:rPr>
  </w:style>
  <w:style w:type="paragraph" w:styleId="10">
    <w:name w:val="toc 2"/>
    <w:basedOn w:val="1"/>
    <w:next w:val="1"/>
    <w:qFormat/>
    <w:uiPriority w:val="0"/>
    <w:pPr>
      <w:ind w:left="420" w:leftChars="200"/>
    </w:pPr>
  </w:style>
  <w:style w:type="character" w:styleId="12">
    <w:name w:val="Emphasis"/>
    <w:basedOn w:val="11"/>
    <w:qFormat/>
    <w:uiPriority w:val="0"/>
    <w:rPr>
      <w:i/>
    </w:rPr>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paragraph" w:customStyle="1" w:styleId="16">
    <w:name w:val="Balloon Text1"/>
    <w:basedOn w:val="1"/>
    <w:qFormat/>
    <w:uiPriority w:val="0"/>
    <w:rPr>
      <w:sz w:val="18"/>
      <w:szCs w:val="18"/>
    </w:rPr>
  </w:style>
  <w:style w:type="paragraph" w:customStyle="1" w:styleId="17">
    <w:name w:val="批注文字1"/>
    <w:basedOn w:val="1"/>
    <w:qFormat/>
    <w:uiPriority w:val="0"/>
    <w:pPr>
      <w:jc w:val="left"/>
    </w:pPr>
    <w:rPr>
      <w:kern w:val="2"/>
      <w:sz w:val="21"/>
      <w:szCs w:val="21"/>
    </w:rPr>
  </w:style>
  <w:style w:type="paragraph" w:customStyle="1" w:styleId="18">
    <w:name w:val="TOC 标题1"/>
    <w:basedOn w:val="2"/>
    <w:next w:val="1"/>
    <w:qFormat/>
    <w:uiPriority w:val="0"/>
    <w:pPr>
      <w:widowControl/>
      <w:spacing w:before="480" w:beforeLines="0" w:after="0" w:afterLines="0" w:line="276" w:lineRule="auto"/>
      <w:jc w:val="left"/>
      <w:textAlignment w:val="auto"/>
      <w:outlineLvl w:val="9"/>
    </w:pPr>
    <w:rPr>
      <w:rFonts w:ascii="Cambria" w:hAnsi="Cambria"/>
      <w:color w:val="365F91"/>
      <w:kern w:val="0"/>
      <w:sz w:val="28"/>
      <w:szCs w:val="28"/>
    </w:rPr>
  </w:style>
  <w:style w:type="paragraph" w:customStyle="1" w:styleId="19">
    <w:name w:val="Comment Text1"/>
    <w:basedOn w:val="1"/>
    <w:qFormat/>
    <w:uiPriority w:val="0"/>
    <w:pPr>
      <w:jc w:val="left"/>
    </w:pPr>
  </w:style>
  <w:style w:type="paragraph" w:customStyle="1" w:styleId="20">
    <w:name w:val="页眉1"/>
    <w:basedOn w:val="1"/>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21">
    <w:name w:val="_Style 16"/>
    <w:qFormat/>
    <w:uiPriority w:val="0"/>
    <w:rPr>
      <w:rFonts w:ascii="Times New Roman" w:hAnsi="Times New Roman" w:eastAsia="宋体" w:cs="Times New Roman"/>
      <w:kern w:val="2"/>
      <w:sz w:val="21"/>
      <w:szCs w:val="21"/>
      <w:lang w:val="en-US" w:eastAsia="zh-CN" w:bidi="ar-SA"/>
    </w:rPr>
  </w:style>
  <w:style w:type="paragraph" w:customStyle="1" w:styleId="22">
    <w:name w:val="正文文本缩进 31"/>
    <w:basedOn w:val="1"/>
    <w:qFormat/>
    <w:uiPriority w:val="0"/>
    <w:pPr>
      <w:spacing w:after="120" w:afterLines="0"/>
      <w:ind w:left="420" w:leftChars="200"/>
    </w:pPr>
    <w:rPr>
      <w:sz w:val="16"/>
      <w:szCs w:val="16"/>
    </w:rPr>
  </w:style>
  <w:style w:type="paragraph" w:customStyle="1" w:styleId="23">
    <w:name w:val="批注主题1"/>
    <w:basedOn w:val="17"/>
    <w:next w:val="17"/>
    <w:qFormat/>
    <w:uiPriority w:val="0"/>
    <w:rPr>
      <w:b/>
      <w:bCs/>
    </w:rPr>
  </w:style>
  <w:style w:type="paragraph" w:customStyle="1" w:styleId="24">
    <w:name w:val="正文文本缩进1"/>
    <w:basedOn w:val="1"/>
    <w:qFormat/>
    <w:uiPriority w:val="0"/>
    <w:pPr>
      <w:spacing w:line="360" w:lineRule="auto"/>
      <w:ind w:firstLine="480" w:firstLineChars="200"/>
    </w:pPr>
    <w:rPr>
      <w:rFonts w:ascii="宋体" w:hAnsi="宋体" w:cs="宋体"/>
      <w:sz w:val="24"/>
      <w:szCs w:val="24"/>
    </w:rPr>
  </w:style>
  <w:style w:type="paragraph" w:customStyle="1" w:styleId="25">
    <w:name w:val="页脚1"/>
    <w:basedOn w:val="1"/>
    <w:qFormat/>
    <w:uiPriority w:val="0"/>
    <w:pPr>
      <w:tabs>
        <w:tab w:val="center" w:pos="4153"/>
        <w:tab w:val="right" w:pos="8306"/>
      </w:tabs>
      <w:snapToGrid w:val="0"/>
      <w:jc w:val="left"/>
    </w:pPr>
    <w:rPr>
      <w:sz w:val="18"/>
      <w:szCs w:val="18"/>
    </w:rPr>
  </w:style>
  <w:style w:type="paragraph" w:customStyle="1" w:styleId="26">
    <w:name w:val="默认段落字体 Para Char Char Char Char Char Char Char"/>
    <w:basedOn w:val="1"/>
    <w:qFormat/>
    <w:uiPriority w:val="0"/>
    <w:rPr>
      <w:rFonts w:ascii="Tahoma" w:hAnsi="Tahoma" w:cs="Tahoma"/>
      <w:sz w:val="24"/>
      <w:szCs w:val="24"/>
    </w:rPr>
  </w:style>
  <w:style w:type="paragraph" w:customStyle="1" w:styleId="27">
    <w:name w:val="Header1"/>
    <w:basedOn w:val="1"/>
    <w:link w:val="46"/>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28">
    <w:name w:val="Char"/>
    <w:basedOn w:val="1"/>
    <w:qFormat/>
    <w:uiPriority w:val="0"/>
    <w:pPr>
      <w:widowControl/>
      <w:spacing w:after="160" w:afterLines="0" w:line="240" w:lineRule="exact"/>
      <w:jc w:val="left"/>
    </w:pPr>
  </w:style>
  <w:style w:type="paragraph" w:customStyle="1" w:styleId="29">
    <w:name w:val="Footer1"/>
    <w:basedOn w:val="1"/>
    <w:link w:val="50"/>
    <w:qFormat/>
    <w:uiPriority w:val="0"/>
    <w:pPr>
      <w:tabs>
        <w:tab w:val="center" w:pos="4153"/>
        <w:tab w:val="right" w:pos="8306"/>
      </w:tabs>
      <w:snapToGrid w:val="0"/>
      <w:jc w:val="left"/>
    </w:pPr>
    <w:rPr>
      <w:kern w:val="2"/>
      <w:sz w:val="18"/>
      <w:szCs w:val="18"/>
    </w:rPr>
  </w:style>
  <w:style w:type="paragraph" w:customStyle="1" w:styleId="30">
    <w:name w:val="Char Char Char Char"/>
    <w:basedOn w:val="1"/>
    <w:qFormat/>
    <w:uiPriority w:val="0"/>
    <w:rPr>
      <w:rFonts w:eastAsia="仿宋_GB2312"/>
      <w:sz w:val="32"/>
      <w:szCs w:val="32"/>
    </w:rPr>
  </w:style>
  <w:style w:type="paragraph" w:customStyle="1" w:styleId="31">
    <w:name w:val="正文文本1"/>
    <w:basedOn w:val="1"/>
    <w:qFormat/>
    <w:uiPriority w:val="0"/>
    <w:pPr>
      <w:spacing w:after="120" w:afterLines="0"/>
    </w:pPr>
  </w:style>
  <w:style w:type="paragraph" w:customStyle="1" w:styleId="32">
    <w:name w:val="Char Char Char Char Char Char Char"/>
    <w:basedOn w:val="1"/>
    <w:qFormat/>
    <w:uiPriority w:val="0"/>
    <w:pPr>
      <w:tabs>
        <w:tab w:val="left" w:pos="360"/>
      </w:tabs>
    </w:pPr>
  </w:style>
  <w:style w:type="paragraph" w:customStyle="1" w:styleId="33">
    <w:name w:val="正文文本缩进 21"/>
    <w:basedOn w:val="1"/>
    <w:qFormat/>
    <w:uiPriority w:val="0"/>
    <w:pPr>
      <w:spacing w:after="120" w:afterLines="0" w:line="480" w:lineRule="auto"/>
      <w:ind w:left="420" w:leftChars="200"/>
    </w:pPr>
  </w:style>
  <w:style w:type="paragraph" w:customStyle="1" w:styleId="34">
    <w:name w:val="最小值"/>
    <w:basedOn w:val="1"/>
    <w:qFormat/>
    <w:uiPriority w:val="0"/>
    <w:pPr>
      <w:snapToGrid w:val="0"/>
      <w:spacing w:line="240" w:lineRule="atLeast"/>
      <w:jc w:val="center"/>
    </w:pPr>
    <w:rPr>
      <w:rFonts w:ascii="宋体" w:hAnsi="宋体" w:cs="宋体"/>
      <w:b/>
      <w:bCs/>
      <w:sz w:val="20"/>
      <w:szCs w:val="20"/>
    </w:rPr>
  </w:style>
  <w:style w:type="paragraph" w:customStyle="1" w:styleId="35">
    <w:name w:val="批注框文本1"/>
    <w:basedOn w:val="1"/>
    <w:qFormat/>
    <w:uiPriority w:val="0"/>
    <w:rPr>
      <w:sz w:val="18"/>
      <w:szCs w:val="18"/>
    </w:rPr>
  </w:style>
  <w:style w:type="paragraph" w:customStyle="1" w:styleId="36">
    <w:name w:val="Comment Subject1"/>
    <w:basedOn w:val="19"/>
    <w:next w:val="19"/>
    <w:qFormat/>
    <w:uiPriority w:val="0"/>
    <w:rPr>
      <w:b/>
      <w:bCs/>
      <w:kern w:val="2"/>
      <w:sz w:val="21"/>
      <w:szCs w:val="21"/>
    </w:rPr>
  </w:style>
  <w:style w:type="paragraph" w:customStyle="1" w:styleId="37">
    <w:name w:val="Char Char Char Char Char Char Char Char Char Char"/>
    <w:basedOn w:val="1"/>
    <w:qFormat/>
    <w:uiPriority w:val="0"/>
    <w:rPr>
      <w:rFonts w:eastAsia="仿宋_GB2312"/>
      <w:sz w:val="32"/>
      <w:szCs w:val="32"/>
    </w:rPr>
  </w:style>
  <w:style w:type="paragraph" w:customStyle="1" w:styleId="38">
    <w:name w:val="p0"/>
    <w:basedOn w:val="1"/>
    <w:qFormat/>
    <w:uiPriority w:val="0"/>
    <w:pPr>
      <w:widowControl/>
    </w:pPr>
    <w:rPr>
      <w:kern w:val="0"/>
    </w:rPr>
  </w:style>
  <w:style w:type="character" w:customStyle="1" w:styleId="39">
    <w:name w:val="批注主题 Char Char"/>
    <w:link w:val="3"/>
    <w:qFormat/>
    <w:uiPriority w:val="0"/>
    <w:rPr>
      <w:b/>
      <w:bCs/>
      <w:kern w:val="2"/>
      <w:sz w:val="21"/>
      <w:szCs w:val="21"/>
    </w:rPr>
  </w:style>
  <w:style w:type="character" w:customStyle="1" w:styleId="40">
    <w:name w:val="页码1"/>
    <w:basedOn w:val="11"/>
    <w:qFormat/>
    <w:uiPriority w:val="0"/>
  </w:style>
  <w:style w:type="character" w:customStyle="1" w:styleId="41">
    <w:name w:val="批注文字 Char Char"/>
    <w:link w:val="4"/>
    <w:qFormat/>
    <w:uiPriority w:val="0"/>
    <w:rPr>
      <w:kern w:val="2"/>
      <w:sz w:val="21"/>
      <w:szCs w:val="21"/>
    </w:rPr>
  </w:style>
  <w:style w:type="character" w:customStyle="1" w:styleId="42">
    <w:name w:val="标题 1 Char Char"/>
    <w:link w:val="2"/>
    <w:qFormat/>
    <w:uiPriority w:val="0"/>
    <w:rPr>
      <w:b/>
      <w:bCs/>
      <w:kern w:val="44"/>
      <w:sz w:val="44"/>
      <w:szCs w:val="44"/>
    </w:rPr>
  </w:style>
  <w:style w:type="character" w:customStyle="1" w:styleId="43">
    <w:name w:val="页眉 Char Char"/>
    <w:link w:val="8"/>
    <w:qFormat/>
    <w:uiPriority w:val="0"/>
    <w:rPr>
      <w:kern w:val="2"/>
      <w:sz w:val="18"/>
      <w:szCs w:val="18"/>
    </w:rPr>
  </w:style>
  <w:style w:type="character" w:customStyle="1" w:styleId="44">
    <w:name w:val="页码2"/>
    <w:basedOn w:val="11"/>
    <w:qFormat/>
    <w:uiPriority w:val="0"/>
  </w:style>
  <w:style w:type="character" w:customStyle="1" w:styleId="45">
    <w:name w:val="批注文字 Char1"/>
    <w:link w:val="4"/>
    <w:qFormat/>
    <w:uiPriority w:val="0"/>
    <w:rPr>
      <w:kern w:val="2"/>
      <w:sz w:val="21"/>
      <w:szCs w:val="21"/>
    </w:rPr>
  </w:style>
  <w:style w:type="character" w:customStyle="1" w:styleId="46">
    <w:name w:val="页眉 Char1"/>
    <w:link w:val="27"/>
    <w:qFormat/>
    <w:uiPriority w:val="0"/>
    <w:rPr>
      <w:kern w:val="2"/>
      <w:sz w:val="18"/>
      <w:szCs w:val="18"/>
    </w:rPr>
  </w:style>
  <w:style w:type="character" w:customStyle="1" w:styleId="47">
    <w:name w:val="Comment Reference1"/>
    <w:qFormat/>
    <w:uiPriority w:val="0"/>
    <w:rPr>
      <w:sz w:val="21"/>
      <w:szCs w:val="21"/>
    </w:rPr>
  </w:style>
  <w:style w:type="character" w:customStyle="1" w:styleId="48">
    <w:name w:val="页眉 Char2"/>
    <w:link w:val="8"/>
    <w:qFormat/>
    <w:uiPriority w:val="0"/>
    <w:rPr>
      <w:sz w:val="18"/>
      <w:szCs w:val="18"/>
    </w:rPr>
  </w:style>
  <w:style w:type="character" w:customStyle="1" w:styleId="49">
    <w:name w:val="批注框文本 Char Char"/>
    <w:link w:val="6"/>
    <w:qFormat/>
    <w:uiPriority w:val="0"/>
    <w:rPr>
      <w:sz w:val="18"/>
      <w:szCs w:val="18"/>
    </w:rPr>
  </w:style>
  <w:style w:type="character" w:customStyle="1" w:styleId="50">
    <w:name w:val="页脚 Char Char"/>
    <w:link w:val="29"/>
    <w:qFormat/>
    <w:uiPriority w:val="0"/>
    <w:rPr>
      <w:kern w:val="2"/>
      <w:sz w:val="18"/>
      <w:szCs w:val="18"/>
    </w:rPr>
  </w:style>
  <w:style w:type="character" w:customStyle="1" w:styleId="51">
    <w:name w:val="批注文字 Char2"/>
    <w:link w:val="4"/>
    <w:qFormat/>
    <w:uiPriority w:val="0"/>
    <w:rPr>
      <w:sz w:val="21"/>
      <w:szCs w:val="21"/>
    </w:rPr>
  </w:style>
  <w:style w:type="character" w:customStyle="1" w:styleId="52">
    <w:name w:val="批注主题 Char1"/>
    <w:link w:val="3"/>
    <w:qFormat/>
    <w:uiPriority w:val="0"/>
    <w:rPr>
      <w:b/>
      <w:bCs/>
      <w:kern w:val="2"/>
      <w:sz w:val="21"/>
      <w:szCs w:val="21"/>
    </w:rPr>
  </w:style>
  <w:style w:type="character" w:customStyle="1" w:styleId="53">
    <w:name w:val="批注引用1"/>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107"/>
    <customShpInfo spid="_x0000_s4098"/>
    <customShpInfo spid="_x0000_s4097" textRotate="1"/>
    <customShpInfo spid="_x0000_s4115"/>
    <customShpInfo spid="_x0000_s4114"/>
    <customShpInfo spid="_x0000_s4113"/>
    <customShpInfo spid="_x0000_s4112"/>
    <customShpInfo spid="_x0000_s4111"/>
    <customShpInfo spid="_x0000_s4110"/>
    <customShpInfo spid="_x0000_s4109"/>
    <customShpInfo spid="_x0000_s4108"/>
    <customShpInfo spid="_x0000_s4106"/>
    <customShpInfo spid="_x0000_s4105"/>
    <customShpInfo spid="_x0000_s4104"/>
    <customShpInfo spid="_x0000_s4103"/>
    <customShpInfo spid="_x0000_s4102"/>
    <customShpInfo spid="_x0000_s4101"/>
    <customShpInfo spid="_x0000_s4100"/>
    <customShpInfo spid="_x0000_s4099"/>
    <customShpInfo spid="_x0000_s409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CMBC</Company>
  <Pages>27</Pages>
  <Words>3160</Words>
  <Characters>18013</Characters>
  <Lines>150</Lines>
  <Paragraphs>42</Paragraphs>
  <ScaleCrop>false</ScaleCrop>
  <LinksUpToDate>false</LinksUpToDate>
  <CharactersWithSpaces>21131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2014-04-25T08:44:00Z</dcterms:created>
  <dc:creator>刘晓瑜</dc:creator>
  <cp:lastModifiedBy>李雪</cp:lastModifiedBy>
  <dcterms:modified xsi:type="dcterms:W3CDTF">2019-01-10T02:18:04Z</dcterms:modified>
  <dc:title>哈尔滨银行丁香花理财计划资金托管协议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